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Starý Poddvorov</w:t>
        <w:br/>
        <w:t>Zastupitelstvo obce Starý Poddvorov</w:t>
      </w:r>
    </w:p>
    <w:p>
      <w:pPr>
        <w:pStyle w:val="Nadpis1"/>
        <w:bidi w:val="0"/>
        <w:rPr/>
      </w:pPr>
      <w:r>
        <w:rPr/>
        <w:t>Obecně závazná vyhláška obce Starý Poddvorov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>Zastupitelstvo obce Starý Poddvorov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Starý Poddvorov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lunaparků a jiných obdobných atrakcí.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 užívání veřejných prostranství, která jsou uvedena jmenovitě v příloze č. 1 a graficky na mapě v příloze č. 2. Tyto přílohy tvoří nedílnou součást této vyhlášky.</w:t>
      </w:r>
    </w:p>
    <w:p>
      <w:pPr>
        <w:pStyle w:val="Nadpis2"/>
        <w:bidi w:val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cirkusů 5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lunaparků a jiných obdobných atrakcí 10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Obec stanovuje poplatek paušální částkou: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cirkusů 5000 Kč za týden,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lunaparků a jiných obdobných atrakcí 15000 Kč za týden.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Volbu placení poplatku paušální částkou včetně výběru varianty paušální částky sdělí poplatník správci poplatku v rámci ohlášení dle čl. 4 odst. 2.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stanovený paušální částkou je splatný do 10 dnů od počátku každého poplatkového období.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4/2021, o místním polatku za užívání veřejného prostranství , ze dne 15. prosince 2021.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Ivo Padalík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Bc. Kamila Bařinová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LibreOffice/7.0.3.1$Windows_X86_64 LibreOffice_project/d7547858d014d4cf69878db179d326fc3483e082</Application>
  <Pages>2</Pages>
  <Words>639</Words>
  <Characters>3528</Characters>
  <CharactersWithSpaces>4095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2023-12-01T18:45:18Z</dcterms:modified>
  <cp:revision>0</cp:revision>
  <dc:subject/>
  <dc:title/>
</cp:coreProperties>
</file>