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E0F6B">
        <w:rPr>
          <w:rFonts w:ascii="Arial" w:hAnsi="Arial" w:cs="Arial"/>
          <w:b/>
        </w:rPr>
        <w:t>TACHLOVICE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</w:t>
      </w:r>
      <w:r>
        <w:rPr>
          <w:rFonts w:ascii="Arial" w:hAnsi="Arial" w:cs="Arial"/>
          <w:b/>
        </w:rPr>
        <w:t xml:space="preserve">e </w:t>
      </w:r>
      <w:r w:rsidR="008E0F6B">
        <w:rPr>
          <w:rFonts w:ascii="Arial" w:hAnsi="Arial" w:cs="Arial"/>
          <w:b/>
        </w:rPr>
        <w:t>Tachlovice</w:t>
      </w:r>
      <w:r w:rsidR="00E03EE3">
        <w:rPr>
          <w:rFonts w:ascii="Arial" w:hAnsi="Arial" w:cs="Arial"/>
          <w:b/>
        </w:rPr>
        <w:t xml:space="preserve"> </w:t>
      </w:r>
    </w:p>
    <w:p w:rsidR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E0F6B">
        <w:rPr>
          <w:rFonts w:ascii="Arial" w:hAnsi="Arial" w:cs="Arial"/>
          <w:b/>
        </w:rPr>
        <w:t>Tachlovice</w:t>
      </w:r>
      <w:r w:rsidR="00E03EE3">
        <w:rPr>
          <w:rFonts w:ascii="Arial" w:hAnsi="Arial" w:cs="Arial"/>
          <w:b/>
        </w:rPr>
        <w:t xml:space="preserve"> č. 2/2022</w:t>
      </w:r>
    </w:p>
    <w:p w:rsidR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="00850CCE">
        <w:rPr>
          <w:rFonts w:ascii="Arial" w:hAnsi="Arial" w:cs="Arial"/>
          <w:sz w:val="22"/>
          <w:szCs w:val="22"/>
        </w:rPr>
        <w:t xml:space="preserve">Zastupitelstvo obce </w:t>
      </w:r>
      <w:r w:rsidR="008E0F6B">
        <w:rPr>
          <w:rFonts w:ascii="Arial" w:hAnsi="Arial" w:cs="Arial"/>
          <w:sz w:val="22"/>
          <w:szCs w:val="22"/>
        </w:rPr>
        <w:t>Tachlovice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E0F6B">
        <w:rPr>
          <w:rFonts w:ascii="Arial" w:hAnsi="Arial" w:cs="Arial"/>
          <w:sz w:val="22"/>
          <w:szCs w:val="22"/>
        </w:rPr>
        <w:t>15.12.2022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E03EE3">
        <w:rPr>
          <w:rFonts w:ascii="Arial" w:hAnsi="Arial" w:cs="Arial"/>
          <w:sz w:val="22"/>
          <w:szCs w:val="22"/>
        </w:rPr>
        <w:t>8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</w:t>
      </w:r>
      <w:r w:rsidRPr="0001228D">
        <w:rPr>
          <w:rFonts w:ascii="Arial" w:hAnsi="Arial" w:cs="Arial"/>
          <w:sz w:val="22"/>
          <w:szCs w:val="22"/>
        </w:rPr>
        <w:t>ních poplat</w:t>
      </w:r>
      <w:r w:rsidRPr="0001228D">
        <w:rPr>
          <w:rFonts w:ascii="Arial" w:hAnsi="Arial" w:cs="Arial"/>
          <w:sz w:val="22"/>
          <w:szCs w:val="22"/>
        </w:rPr>
        <w:t>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 w:rsidR="00850CCE">
        <w:rPr>
          <w:rFonts w:ascii="Arial" w:hAnsi="Arial" w:cs="Arial"/>
          <w:sz w:val="22"/>
          <w:szCs w:val="22"/>
        </w:rPr>
        <w:t>,</w:t>
      </w:r>
      <w:r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</w:t>
      </w:r>
      <w:r w:rsidRPr="0001228D">
        <w:rPr>
          <w:rFonts w:ascii="Arial" w:hAnsi="Arial" w:cs="Arial"/>
          <w:sz w:val="22"/>
          <w:szCs w:val="22"/>
        </w:rPr>
        <w:t>e jen „</w:t>
      </w:r>
      <w:r w:rsidR="00ED5D64">
        <w:rPr>
          <w:rFonts w:ascii="Arial" w:hAnsi="Arial" w:cs="Arial"/>
          <w:sz w:val="22"/>
          <w:szCs w:val="22"/>
        </w:rPr>
        <w:t>tato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E0F6B">
        <w:rPr>
          <w:rFonts w:ascii="Arial" w:hAnsi="Arial" w:cs="Arial"/>
          <w:sz w:val="22"/>
          <w:szCs w:val="22"/>
        </w:rPr>
        <w:t>Tachlovic</w:t>
      </w:r>
      <w:r w:rsidR="008E0F6B">
        <w:rPr>
          <w:rFonts w:ascii="Arial" w:hAnsi="Arial" w:cs="Arial"/>
          <w:sz w:val="22"/>
          <w:szCs w:val="22"/>
        </w:rPr>
        <w:t>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 w:rsidR="00B50D1A">
        <w:rPr>
          <w:rFonts w:ascii="Arial" w:hAnsi="Arial" w:cs="Arial"/>
          <w:sz w:val="22"/>
          <w:szCs w:val="22"/>
        </w:rPr>
        <w:t>S</w:t>
      </w:r>
      <w:r w:rsidRPr="0001228D" w:rsidR="00E4247A">
        <w:rPr>
          <w:rFonts w:ascii="Arial" w:hAnsi="Arial" w:cs="Arial"/>
          <w:sz w:val="22"/>
          <w:szCs w:val="22"/>
        </w:rPr>
        <w:t>právcem poplatku je obecní úřad</w:t>
      </w:r>
      <w:r w:rsidRPr="0001228D" w:rsidR="00531B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P="009508FA">
      <w:pPr>
        <w:pStyle w:val="Nzvylnk"/>
        <w:rPr>
          <w:rFonts w:ascii="Arial" w:hAnsi="Arial" w:cs="Arial"/>
        </w:rPr>
      </w:pPr>
      <w:r w:rsidR="003150FC"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893F98" w:rsidRPr="007C6483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ze psů platí drž</w:t>
      </w:r>
      <w:r w:rsidRPr="007C6483">
        <w:rPr>
          <w:rFonts w:ascii="Arial" w:hAnsi="Arial" w:cs="Arial"/>
          <w:sz w:val="22"/>
          <w:szCs w:val="22"/>
        </w:rPr>
        <w:t xml:space="preserve">itel psa. Držitelem je </w:t>
      </w:r>
      <w:r w:rsidR="00781271">
        <w:rPr>
          <w:rFonts w:ascii="Arial" w:hAnsi="Arial" w:cs="Arial"/>
          <w:sz w:val="22"/>
          <w:szCs w:val="22"/>
        </w:rPr>
        <w:t xml:space="preserve">pro </w:t>
      </w:r>
      <w:r w:rsidR="00781271">
        <w:rPr>
          <w:rFonts w:ascii="Arial" w:hAnsi="Arial" w:cs="Arial"/>
          <w:sz w:val="22"/>
          <w:szCs w:val="22"/>
        </w:rPr>
        <w:t xml:space="preserve">účely tohoto poplatku </w:t>
      </w:r>
      <w:r w:rsidRPr="00881F45" w:rsid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P="009508FA">
      <w:pPr>
        <w:pStyle w:val="slalnk"/>
        <w:spacing w:before="480"/>
        <w:rPr>
          <w:rFonts w:ascii="Arial" w:hAnsi="Arial" w:cs="Arial"/>
        </w:rPr>
      </w:pPr>
      <w:r w:rsidR="00FF32F5">
        <w:rPr>
          <w:rFonts w:ascii="Arial" w:hAnsi="Arial" w:cs="Arial"/>
        </w:rPr>
        <w:t>Čl. 3</w:t>
      </w:r>
    </w:p>
    <w:p w:rsidR="00893F98" w:rsidRPr="0080616A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="002018AD">
        <w:rPr>
          <w:rFonts w:ascii="Arial" w:hAnsi="Arial" w:cs="Arial"/>
          <w:sz w:val="22"/>
          <w:szCs w:val="22"/>
        </w:rPr>
        <w:t>Poplatník</w:t>
      </w:r>
      <w:r w:rsidRPr="00833C29" w:rsidR="006C0C98">
        <w:rPr>
          <w:rFonts w:ascii="Arial" w:hAnsi="Arial" w:cs="Arial"/>
          <w:sz w:val="22"/>
          <w:szCs w:val="22"/>
        </w:rPr>
        <w:t xml:space="preserve"> </w:t>
      </w:r>
      <w:r w:rsidRPr="00833C29" w:rsidR="00893F98">
        <w:rPr>
          <w:rFonts w:ascii="Arial" w:hAnsi="Arial" w:cs="Arial"/>
          <w:sz w:val="22"/>
          <w:szCs w:val="22"/>
        </w:rPr>
        <w:t xml:space="preserve">je povinen </w:t>
      </w:r>
      <w:r w:rsidRPr="00833C29" w:rsidR="005F094F">
        <w:rPr>
          <w:rFonts w:ascii="Arial" w:hAnsi="Arial" w:cs="Arial"/>
          <w:sz w:val="22"/>
          <w:szCs w:val="22"/>
        </w:rPr>
        <w:t xml:space="preserve">ohlásit </w:t>
      </w:r>
      <w:r w:rsidRPr="00833C29" w:rsidR="00893F98">
        <w:rPr>
          <w:rFonts w:ascii="Arial" w:hAnsi="Arial" w:cs="Arial"/>
          <w:sz w:val="22"/>
          <w:szCs w:val="22"/>
        </w:rPr>
        <w:t xml:space="preserve">správci </w:t>
      </w:r>
      <w:r w:rsidRPr="00833C29" w:rsidR="00893F98">
        <w:rPr>
          <w:rFonts w:ascii="Arial" w:hAnsi="Arial" w:cs="Arial"/>
          <w:sz w:val="22"/>
          <w:szCs w:val="22"/>
        </w:rPr>
        <w:t>poplatku vznik</w:t>
      </w:r>
      <w:r w:rsidRPr="00833C29" w:rsidR="005F094F">
        <w:rPr>
          <w:rFonts w:ascii="Arial" w:hAnsi="Arial" w:cs="Arial"/>
          <w:sz w:val="22"/>
          <w:szCs w:val="22"/>
        </w:rPr>
        <w:t xml:space="preserve"> s</w:t>
      </w:r>
      <w:r w:rsidRPr="00833C29" w:rsidR="005F094F">
        <w:rPr>
          <w:rFonts w:ascii="Arial" w:hAnsi="Arial" w:cs="Arial"/>
          <w:sz w:val="22"/>
          <w:szCs w:val="22"/>
        </w:rPr>
        <w:t>vé</w:t>
      </w:r>
      <w:r w:rsidRPr="00833C29" w:rsidR="00893F98">
        <w:rPr>
          <w:rFonts w:ascii="Arial" w:hAnsi="Arial" w:cs="Arial"/>
          <w:sz w:val="22"/>
          <w:szCs w:val="22"/>
        </w:rPr>
        <w:t xml:space="preserve"> poplatko</w:t>
      </w:r>
      <w:r w:rsidRPr="00833C29" w:rsidR="00893F98">
        <w:rPr>
          <w:rFonts w:ascii="Arial" w:hAnsi="Arial" w:cs="Arial"/>
          <w:sz w:val="22"/>
          <w:szCs w:val="22"/>
        </w:rPr>
        <w:t xml:space="preserve">vé povinnosti do </w:t>
      </w:r>
      <w:r w:rsidR="008E0F6B">
        <w:rPr>
          <w:rFonts w:ascii="Arial" w:hAnsi="Arial" w:cs="Arial"/>
          <w:sz w:val="22"/>
          <w:szCs w:val="22"/>
        </w:rPr>
        <w:t>15</w:t>
      </w:r>
      <w:r w:rsidRPr="00833C29" w:rsidR="005F094F">
        <w:rPr>
          <w:rFonts w:ascii="Arial" w:hAnsi="Arial" w:cs="Arial"/>
          <w:sz w:val="22"/>
          <w:szCs w:val="22"/>
        </w:rPr>
        <w:t xml:space="preserve"> dnů</w:t>
      </w:r>
      <w:r w:rsidRPr="00833C29" w:rsidR="00893F98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Pr="00833C29" w:rsidR="00893F98">
        <w:rPr>
          <w:rFonts w:ascii="Arial" w:hAnsi="Arial" w:cs="Arial"/>
          <w:sz w:val="22"/>
          <w:szCs w:val="22"/>
        </w:rPr>
        <w:t xml:space="preserve"> </w:t>
      </w:r>
      <w:r w:rsidRPr="002824A7" w:rsidR="00FF32F5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Pr="00CA29A3" w:rsidR="00FF32F5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</w:t>
      </w:r>
      <w:r w:rsidRPr="0001228D">
        <w:rPr>
          <w:rFonts w:ascii="Arial" w:hAnsi="Arial" w:cs="Arial"/>
          <w:sz w:val="22"/>
          <w:szCs w:val="22"/>
        </w:rPr>
        <w:t>o, popřípadě jména, a příjmení</w:t>
      </w:r>
      <w:r w:rsidRPr="0001228D">
        <w:rPr>
          <w:rFonts w:ascii="Arial" w:hAnsi="Arial" w:cs="Arial"/>
          <w:sz w:val="22"/>
          <w:szCs w:val="22"/>
        </w:rPr>
        <w:t xml:space="preserve"> nebo název, obecný identifiká</w:t>
      </w:r>
      <w:r w:rsidRPr="0001228D">
        <w:rPr>
          <w:rFonts w:ascii="Arial" w:hAnsi="Arial" w:cs="Arial"/>
          <w:sz w:val="22"/>
          <w:szCs w:val="22"/>
        </w:rPr>
        <w:t xml:space="preserve">tor, byl-li přidělen, místo pobytu nebo sídlo, </w:t>
      </w:r>
      <w:r w:rsidRPr="0001228D" w:rsidR="00477984">
        <w:rPr>
          <w:rFonts w:ascii="Arial" w:hAnsi="Arial" w:cs="Arial"/>
          <w:sz w:val="22"/>
          <w:szCs w:val="22"/>
        </w:rPr>
        <w:t>sídlo podnikatele</w:t>
      </w:r>
      <w:r w:rsidRPr="0001228D" w:rsidR="00323FA0">
        <w:rPr>
          <w:rFonts w:ascii="Arial" w:hAnsi="Arial" w:cs="Arial"/>
          <w:sz w:val="22"/>
          <w:szCs w:val="22"/>
        </w:rPr>
        <w:t>, popřípadě další adres</w:t>
      </w:r>
      <w:r w:rsidRPr="0001228D" w:rsidR="00477984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</w:t>
      </w:r>
      <w:r w:rsidRPr="0001228D">
        <w:rPr>
          <w:rFonts w:ascii="Arial" w:hAnsi="Arial" w:cs="Arial"/>
          <w:sz w:val="22"/>
          <w:szCs w:val="22"/>
        </w:rPr>
        <w:t>cech,</w:t>
      </w:r>
    </w:p>
    <w:p w:rsidR="00893F98" w:rsidRPr="0001228D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</w:t>
      </w:r>
      <w:r w:rsidRPr="0001228D">
        <w:rPr>
          <w:rFonts w:ascii="Arial" w:hAnsi="Arial" w:cs="Arial"/>
          <w:sz w:val="22"/>
          <w:szCs w:val="22"/>
        </w:rPr>
        <w:t xml:space="preserve"> poskytovatelů platebníc</w:t>
      </w:r>
      <w:r w:rsidRPr="0001228D">
        <w:rPr>
          <w:rFonts w:ascii="Arial" w:hAnsi="Arial" w:cs="Arial"/>
          <w:sz w:val="22"/>
          <w:szCs w:val="22"/>
        </w:rPr>
        <w:t>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 w:rsidR="005064A5">
        <w:rPr>
          <w:rFonts w:ascii="Arial" w:hAnsi="Arial" w:cs="Arial"/>
          <w:sz w:val="22"/>
          <w:szCs w:val="22"/>
        </w:rPr>
        <w:t xml:space="preserve">další </w:t>
      </w:r>
      <w:r w:rsidRPr="0001228D">
        <w:rPr>
          <w:rFonts w:ascii="Arial" w:hAnsi="Arial" w:cs="Arial"/>
          <w:sz w:val="22"/>
          <w:szCs w:val="22"/>
        </w:rPr>
        <w:t>údaje rozh</w:t>
      </w:r>
      <w:r w:rsidRPr="0001228D">
        <w:rPr>
          <w:rFonts w:ascii="Arial" w:hAnsi="Arial" w:cs="Arial"/>
          <w:sz w:val="22"/>
          <w:szCs w:val="22"/>
        </w:rPr>
        <w:t xml:space="preserve">odné pro stanovení </w:t>
      </w:r>
      <w:r w:rsidRPr="0001228D" w:rsidR="00477984">
        <w:rPr>
          <w:rFonts w:ascii="Arial" w:hAnsi="Arial" w:cs="Arial"/>
          <w:sz w:val="22"/>
          <w:szCs w:val="22"/>
        </w:rPr>
        <w:t>poplatku</w:t>
      </w:r>
      <w:r w:rsidRPr="0001228D" w:rsidR="00C4447F">
        <w:rPr>
          <w:rFonts w:ascii="Arial" w:hAnsi="Arial" w:cs="Arial"/>
          <w:sz w:val="22"/>
          <w:szCs w:val="22"/>
        </w:rPr>
        <w:t>, z</w:t>
      </w:r>
      <w:r w:rsidRPr="0001228D" w:rsidR="00C4447F">
        <w:rPr>
          <w:rFonts w:ascii="Arial" w:hAnsi="Arial" w:cs="Arial"/>
          <w:sz w:val="22"/>
          <w:szCs w:val="22"/>
        </w:rPr>
        <w:t>ejména stáří a</w:t>
      </w:r>
      <w:r w:rsidRPr="0001228D" w:rsidR="005064A5">
        <w:rPr>
          <w:rFonts w:ascii="Arial" w:hAnsi="Arial" w:cs="Arial"/>
          <w:sz w:val="22"/>
          <w:szCs w:val="22"/>
        </w:rPr>
        <w:t xml:space="preserve"> počet držených psů, </w:t>
      </w:r>
      <w:r w:rsidRPr="0001228D" w:rsidR="008C2A0B">
        <w:rPr>
          <w:rFonts w:ascii="Arial" w:hAnsi="Arial" w:cs="Arial"/>
          <w:sz w:val="22"/>
          <w:szCs w:val="22"/>
        </w:rPr>
        <w:t xml:space="preserve">včetně </w:t>
      </w:r>
      <w:r w:rsidRPr="0001228D" w:rsidR="00833C29">
        <w:rPr>
          <w:rFonts w:ascii="Arial" w:hAnsi="Arial" w:cs="Arial"/>
          <w:sz w:val="22"/>
          <w:szCs w:val="22"/>
        </w:rPr>
        <w:t xml:space="preserve">skutečností zakládajících </w:t>
      </w:r>
      <w:r w:rsidRPr="0001228D" w:rsidR="008C2A0B">
        <w:rPr>
          <w:rFonts w:ascii="Arial" w:hAnsi="Arial" w:cs="Arial"/>
          <w:sz w:val="22"/>
          <w:szCs w:val="22"/>
        </w:rPr>
        <w:t>vznik</w:t>
      </w:r>
      <w:r w:rsidRPr="0001228D" w:rsidR="005064A5">
        <w:rPr>
          <w:rFonts w:ascii="Arial" w:hAnsi="Arial" w:cs="Arial"/>
          <w:sz w:val="22"/>
          <w:szCs w:val="22"/>
        </w:rPr>
        <w:t xml:space="preserve"> nárok</w:t>
      </w:r>
      <w:r w:rsidRPr="0001228D" w:rsidR="00B13395">
        <w:rPr>
          <w:rFonts w:ascii="Arial" w:hAnsi="Arial" w:cs="Arial"/>
          <w:sz w:val="22"/>
          <w:szCs w:val="22"/>
        </w:rPr>
        <w:t>u</w:t>
      </w:r>
      <w:r w:rsidRPr="0001228D" w:rsidR="005064A5">
        <w:rPr>
          <w:rFonts w:ascii="Arial" w:hAnsi="Arial" w:cs="Arial"/>
          <w:sz w:val="22"/>
          <w:szCs w:val="22"/>
        </w:rPr>
        <w:t xml:space="preserve"> na úlevu </w:t>
      </w:r>
      <w:r w:rsidRPr="0001228D" w:rsidR="00833C29">
        <w:rPr>
          <w:rFonts w:ascii="Arial" w:hAnsi="Arial" w:cs="Arial"/>
          <w:sz w:val="22"/>
          <w:szCs w:val="22"/>
        </w:rPr>
        <w:t>nebo</w:t>
      </w:r>
      <w:r w:rsidRPr="0001228D" w:rsidR="005064A5">
        <w:rPr>
          <w:rFonts w:ascii="Arial" w:hAnsi="Arial" w:cs="Arial"/>
          <w:sz w:val="22"/>
          <w:szCs w:val="22"/>
        </w:rPr>
        <w:t xml:space="preserve"> osvobození od poplatku.</w:t>
      </w:r>
      <w:r w:rsidRPr="0001228D" w:rsidR="00A137CC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Pr="0001228D" w:rsidR="002018A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Pr="0001228D" w:rsidR="00C444B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</w:t>
      </w:r>
      <w:r>
        <w:rPr>
          <w:rFonts w:ascii="Arial" w:hAnsi="Arial" w:cs="Arial"/>
          <w:sz w:val="22"/>
          <w:szCs w:val="22"/>
        </w:rPr>
        <w:t>ost ohlásit</w:t>
      </w:r>
      <w:r>
        <w:rPr>
          <w:rFonts w:ascii="Arial" w:hAnsi="Arial" w:cs="Arial"/>
          <w:sz w:val="22"/>
          <w:szCs w:val="22"/>
        </w:rPr>
        <w:t xml:space="preserve"> údaj podle odst. 3 nebo jeho změnu se nevztahuje na údaj, který může správce poplatku automatizovaným způsobem zjistit z rejstříků nebo evidencí, do nichž má zřízen automatizovaný přístup. Okruh těc</w:t>
      </w:r>
      <w:r>
        <w:rPr>
          <w:rFonts w:ascii="Arial" w:hAnsi="Arial" w:cs="Arial"/>
          <w:sz w:val="22"/>
          <w:szCs w:val="22"/>
        </w:rPr>
        <w:t>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893F98" w:rsidRPr="004035A7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Pr="000B610F" w:rsidR="00A137CC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B06F1A">
        <w:rPr>
          <w:rFonts w:ascii="Arial" w:hAnsi="Arial" w:cs="Arial"/>
          <w:sz w:val="22"/>
          <w:szCs w:val="22"/>
        </w:rPr>
        <w:t>2</w:t>
      </w:r>
      <w:r w:rsidR="00B06F1A">
        <w:rPr>
          <w:rFonts w:ascii="Arial" w:hAnsi="Arial" w:cs="Arial"/>
          <w:sz w:val="22"/>
          <w:szCs w:val="22"/>
        </w:rPr>
        <w:t>5</w:t>
      </w:r>
      <w:r w:rsidR="00B06F1A">
        <w:rPr>
          <w:rFonts w:ascii="Arial" w:hAnsi="Arial" w:cs="Arial"/>
          <w:sz w:val="22"/>
          <w:szCs w:val="22"/>
        </w:rPr>
        <w:t>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</w:t>
      </w:r>
      <w:r w:rsidRPr="004035A7">
        <w:rPr>
          <w:rFonts w:ascii="Arial" w:hAnsi="Arial" w:cs="Arial"/>
          <w:sz w:val="22"/>
          <w:szCs w:val="22"/>
        </w:rPr>
        <w:t>ího psa téhož držitele</w:t>
      </w:r>
      <w:r>
        <w:rPr>
          <w:rFonts w:ascii="Arial" w:hAnsi="Arial" w:cs="Arial"/>
          <w:sz w:val="22"/>
          <w:szCs w:val="22"/>
        </w:rPr>
        <w:t xml:space="preserve"> ........................</w:t>
      </w:r>
      <w:r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</w:t>
      </w:r>
      <w:r w:rsidR="00B06F1A">
        <w:rPr>
          <w:rFonts w:ascii="Arial" w:hAnsi="Arial" w:cs="Arial"/>
          <w:sz w:val="22"/>
          <w:szCs w:val="22"/>
        </w:rPr>
        <w:t>3</w:t>
      </w:r>
      <w:r w:rsidR="00B06F1A">
        <w:rPr>
          <w:rFonts w:ascii="Arial" w:hAnsi="Arial" w:cs="Arial"/>
          <w:sz w:val="22"/>
          <w:szCs w:val="22"/>
        </w:rPr>
        <w:t>5</w:t>
      </w:r>
      <w:r w:rsidR="00B06F1A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="00B06F1A">
        <w:rPr>
          <w:rFonts w:ascii="Arial" w:hAnsi="Arial" w:cs="Arial"/>
          <w:sz w:val="22"/>
          <w:szCs w:val="22"/>
        </w:rPr>
        <w:t>.</w:t>
      </w:r>
      <w:r w:rsidR="00B06F1A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</w:t>
      </w:r>
      <w:r w:rsidR="002B3C2F">
        <w:rPr>
          <w:rFonts w:ascii="Arial" w:hAnsi="Arial" w:cs="Arial"/>
          <w:sz w:val="22"/>
          <w:szCs w:val="22"/>
        </w:rPr>
        <w:t xml:space="preserve">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</w:t>
      </w:r>
      <w:r w:rsidR="000B610F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.............................................</w:t>
      </w:r>
      <w:r w:rsidR="00B06F1A">
        <w:rPr>
          <w:rFonts w:ascii="Arial" w:hAnsi="Arial" w:cs="Arial"/>
          <w:sz w:val="22"/>
          <w:szCs w:val="22"/>
        </w:rPr>
        <w:t>150,-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P="009508FA">
      <w:pPr>
        <w:pStyle w:val="slalnk"/>
        <w:spacing w:before="480"/>
        <w:rPr>
          <w:rFonts w:ascii="Arial" w:hAnsi="Arial" w:cs="Arial"/>
        </w:rPr>
      </w:pPr>
      <w:r w:rsidR="00FF32F5">
        <w:rPr>
          <w:rFonts w:ascii="Arial" w:hAnsi="Arial" w:cs="Arial"/>
        </w:rPr>
        <w:t>Čl. 5</w:t>
      </w:r>
      <w:r>
        <w:rPr>
          <w:rFonts w:ascii="Arial" w:hAnsi="Arial" w:cs="Arial"/>
        </w:rPr>
        <w:t xml:space="preserve"> </w:t>
      </w:r>
    </w:p>
    <w:p w:rsidR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6F1A">
        <w:rPr>
          <w:rFonts w:ascii="Arial" w:hAnsi="Arial" w:cs="Arial"/>
          <w:sz w:val="22"/>
          <w:szCs w:val="22"/>
        </w:rPr>
        <w:t>15.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</w:t>
      </w:r>
      <w:r w:rsidRPr="00306B8E">
        <w:rPr>
          <w:rFonts w:ascii="Arial" w:hAnsi="Arial" w:cs="Arial"/>
          <w:sz w:val="22"/>
          <w:szCs w:val="22"/>
        </w:rPr>
        <w:t>latný nejpo</w:t>
      </w:r>
      <w:r w:rsidRPr="00306B8E">
        <w:rPr>
          <w:rFonts w:ascii="Arial" w:hAnsi="Arial" w:cs="Arial"/>
          <w:sz w:val="22"/>
          <w:szCs w:val="22"/>
        </w:rPr>
        <w:t>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:rsidR="00893F98" w:rsidRPr="004035A7" w:rsidP="00CB3885">
      <w:pPr>
        <w:pStyle w:val="slalnk"/>
        <w:spacing w:before="480"/>
        <w:rPr>
          <w:rFonts w:ascii="Arial" w:hAnsi="Arial" w:cs="Arial"/>
        </w:rPr>
      </w:pPr>
      <w:r w:rsidR="00FF32F5">
        <w:rPr>
          <w:rFonts w:ascii="Arial" w:hAnsi="Arial" w:cs="Arial"/>
        </w:rPr>
        <w:t>Čl. 6</w:t>
      </w:r>
    </w:p>
    <w:p w:rsidR="00893F98" w:rsidRPr="004035A7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</w:t>
      </w:r>
      <w:r w:rsidRPr="004035A7">
        <w:rPr>
          <w:rFonts w:ascii="Arial" w:hAnsi="Arial" w:cs="Arial"/>
        </w:rPr>
        <w:t>svobození a úlevy</w:t>
      </w:r>
    </w:p>
    <w:p w:rsidR="00893F98" w:rsidRPr="005052D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</w:t>
      </w:r>
      <w:r w:rsidR="00F751B9">
        <w:rPr>
          <w:rFonts w:ascii="Arial" w:hAnsi="Arial" w:cs="Arial"/>
          <w:sz w:val="22"/>
          <w:szCs w:val="22"/>
        </w:rPr>
        <w:t xml:space="preserve">zické osoby </w:t>
      </w:r>
      <w:r w:rsidR="00F751B9">
        <w:rPr>
          <w:rFonts w:ascii="Arial" w:hAnsi="Arial" w:cs="Arial"/>
          <w:sz w:val="22"/>
          <w:szCs w:val="22"/>
        </w:rPr>
        <w:t>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</w:t>
      </w:r>
      <w:r w:rsidRPr="00A73F5A">
        <w:rPr>
          <w:rFonts w:ascii="Arial" w:hAnsi="Arial" w:cs="Arial"/>
          <w:sz w:val="22"/>
          <w:szCs w:val="22"/>
        </w:rPr>
        <w:t>štní právní předpis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F0789D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893F98" w:rsidRPr="0001228D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poplatky nebo část těchto pop</w:t>
      </w:r>
      <w:r w:rsidRPr="00A04C8B">
        <w:rPr>
          <w:rFonts w:ascii="Arial" w:hAnsi="Arial" w:cs="Arial"/>
          <w:sz w:val="22"/>
          <w:szCs w:val="22"/>
        </w:rPr>
        <w:t>la</w:t>
      </w:r>
      <w:r w:rsidRPr="00A04C8B">
        <w:rPr>
          <w:rFonts w:ascii="Arial" w:hAnsi="Arial" w:cs="Arial"/>
          <w:sz w:val="22"/>
          <w:szCs w:val="22"/>
        </w:rPr>
        <w:t xml:space="preserve">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Pr="0001228D" w:rsidR="00C13361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9E6604" w:rsidRPr="002E0EAD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9E6604" w:rsidRPr="002E0EAD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  <w:br/>
        <w:t>a nenabyl pl</w:t>
      </w:r>
      <w:r w:rsidRPr="002E0EAD">
        <w:rPr>
          <w:rFonts w:ascii="Arial" w:hAnsi="Arial" w:cs="Arial"/>
          <w:sz w:val="22"/>
          <w:szCs w:val="22"/>
        </w:rPr>
        <w:t>né</w:t>
      </w:r>
      <w:r w:rsidRPr="002E0EAD">
        <w:rPr>
          <w:rFonts w:ascii="Arial" w:hAnsi="Arial" w:cs="Arial"/>
          <w:sz w:val="22"/>
          <w:szCs w:val="22"/>
        </w:rPr>
        <w:t xml:space="preserve">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</w:t>
      </w:r>
      <w:r w:rsidRPr="002E0EAD">
        <w:rPr>
          <w:rFonts w:ascii="Arial" w:hAnsi="Arial" w:cs="Arial"/>
          <w:sz w:val="22"/>
          <w:szCs w:val="22"/>
        </w:rPr>
        <w:t>te</w:t>
      </w:r>
      <w:r w:rsidRPr="002E0EAD">
        <w:rPr>
          <w:rFonts w:ascii="Arial" w:hAnsi="Arial" w:cs="Arial"/>
          <w:sz w:val="22"/>
          <w:szCs w:val="22"/>
        </w:rPr>
        <w:t>jné procesní postavení jako poplatník.</w:t>
      </w:r>
    </w:p>
    <w:p w:rsidR="009E6604" w:rsidRPr="002E0EAD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</w:t>
      </w:r>
      <w:r w:rsidRPr="002E0EAD">
        <w:rPr>
          <w:rFonts w:ascii="Arial" w:hAnsi="Arial" w:cs="Arial"/>
          <w:sz w:val="22"/>
          <w:szCs w:val="22"/>
        </w:rPr>
        <w:t>dí</w:t>
      </w:r>
      <w:r w:rsidRPr="002E0EAD">
        <w:rPr>
          <w:rFonts w:ascii="Arial" w:hAnsi="Arial" w:cs="Arial"/>
          <w:sz w:val="22"/>
          <w:szCs w:val="22"/>
        </w:rPr>
        <w:t>lně.</w:t>
      </w:r>
      <w:r>
        <w:rPr>
          <w:rFonts w:ascii="Arial" w:hAnsi="Arial" w:cs="Arial"/>
        </w:rPr>
        <w:t xml:space="preserve"> </w:t>
      </w:r>
    </w:p>
    <w:p w:rsidR="00893F98" w:rsidRPr="00DF5857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="009E6604"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:rsidR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5D7BFD" w:rsidP="005D7BF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část </w:t>
      </w:r>
      <w:r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. </w:t>
      </w:r>
      <w:r w:rsidRPr="000C2DC4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</w:t>
      </w:r>
      <w:r w:rsidRPr="00136A67">
        <w:rPr>
          <w:rFonts w:ascii="Arial" w:hAnsi="Arial" w:cs="Arial"/>
          <w:sz w:val="22"/>
          <w:szCs w:val="22"/>
        </w:rPr>
        <w:t>/</w:t>
      </w:r>
      <w:r w:rsidRPr="00136A67">
        <w:rPr>
          <w:rFonts w:ascii="Arial" w:hAnsi="Arial" w:cs="Arial"/>
          <w:sz w:val="22"/>
          <w:szCs w:val="22"/>
        </w:rPr>
        <w:t>2013</w:t>
      </w:r>
      <w:r w:rsidRPr="00136A67">
        <w:rPr>
          <w:rFonts w:ascii="Arial" w:hAnsi="Arial" w:cs="Arial"/>
          <w:sz w:val="22"/>
          <w:szCs w:val="22"/>
        </w:rPr>
        <w:t xml:space="preserve"> </w:t>
      </w:r>
      <w:r w:rsidRPr="00136A67">
        <w:rPr>
          <w:rFonts w:ascii="Arial" w:hAnsi="Arial" w:cs="Arial"/>
          <w:sz w:val="22"/>
          <w:szCs w:val="22"/>
        </w:rPr>
        <w:t>o místních poplatcích</w:t>
      </w:r>
      <w:r w:rsidRPr="00136A67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136A67">
        <w:rPr>
          <w:rFonts w:ascii="Arial" w:hAnsi="Arial" w:cs="Arial"/>
          <w:sz w:val="22"/>
          <w:szCs w:val="22"/>
        </w:rPr>
        <w:t xml:space="preserve"> </w:t>
      </w:r>
      <w:r w:rsidRPr="00136A67">
        <w:rPr>
          <w:rFonts w:ascii="Arial" w:hAnsi="Arial" w:cs="Arial"/>
          <w:sz w:val="22"/>
          <w:szCs w:val="22"/>
        </w:rPr>
        <w:t>19.9.2013</w:t>
      </w:r>
      <w:r>
        <w:rPr>
          <w:rFonts w:ascii="Arial" w:hAnsi="Arial" w:cs="Arial"/>
          <w:sz w:val="22"/>
          <w:szCs w:val="22"/>
        </w:rPr>
        <w:t>.</w:t>
      </w:r>
    </w:p>
    <w:p w:rsidR="005D7BFD" w:rsidP="005D7B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D7BFD" w:rsidP="005D7B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D7BFD" w:rsidP="005D7B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D7BFD" w:rsidP="005D7B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D7BFD" w:rsidRPr="005D7BFD" w:rsidP="005D7B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</w:t>
      </w:r>
      <w:r w:rsidRPr="00DF5857">
        <w:rPr>
          <w:rFonts w:ascii="Arial" w:hAnsi="Arial" w:cs="Arial"/>
        </w:rPr>
        <w:t>činnost</w:t>
      </w:r>
    </w:p>
    <w:p w:rsidR="00893F98" w:rsidP="005D7BF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 w:rsidR="00C02150">
        <w:rPr>
          <w:rFonts w:ascii="Arial" w:hAnsi="Arial" w:cs="Arial"/>
          <w:sz w:val="22"/>
          <w:szCs w:val="22"/>
        </w:rPr>
        <w:t>Tato</w:t>
      </w:r>
      <w:r w:rsidRPr="00C02150" w:rsidR="00C02150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</w:t>
      </w:r>
      <w:r w:rsidRPr="00C02150" w:rsidR="00C02150">
        <w:rPr>
          <w:rFonts w:ascii="Arial" w:hAnsi="Arial" w:cs="Arial"/>
          <w:sz w:val="22"/>
          <w:szCs w:val="22"/>
        </w:rPr>
        <w:t>hlášení.</w:t>
      </w:r>
    </w:p>
    <w:p w:rsidR="005D7BFD" w:rsidP="005D7BF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D7BFD" w:rsidRPr="00DF5857" w:rsidP="005D7BFD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  <w:tab/>
        <w:t>..........................................</w:t>
      </w:r>
    </w:p>
    <w:p w:rsidR="005D7BFD" w:rsidRPr="000C2DC4" w:rsidP="005D7BFD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Dalibor Auf, Ph.D.</w:t>
      </w:r>
      <w:r w:rsidRPr="000C2DC4">
        <w:rPr>
          <w:rFonts w:ascii="Arial" w:hAnsi="Arial" w:cs="Arial"/>
          <w:sz w:val="22"/>
          <w:szCs w:val="22"/>
        </w:rPr>
        <w:t xml:space="preserve"> </w:t>
        <w:tab/>
      </w:r>
      <w:r>
        <w:rPr>
          <w:rFonts w:ascii="Arial" w:hAnsi="Arial" w:cs="Arial"/>
          <w:sz w:val="22"/>
          <w:szCs w:val="22"/>
        </w:rPr>
        <w:t>Mgr. Tomáš Hrbek</w:t>
      </w:r>
    </w:p>
    <w:p w:rsidR="005D7BFD" w:rsidP="005D7BF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D7BFD" w:rsidP="005D7BF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7BFD" w:rsidP="005D7BFD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5D7BFD" w:rsidRPr="000C2DC4" w:rsidP="005D7BFD">
      <w:pPr>
        <w:pStyle w:val="BodyText"/>
        <w:tabs>
          <w:tab w:val="left" w:pos="720"/>
          <w:tab w:val="left" w:pos="6120"/>
        </w:tabs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>....................</w:t>
        <w:tab/>
      </w:r>
    </w:p>
    <w:p w:rsidR="005D7BFD" w:rsidP="005D7BFD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Hašek</w:t>
      </w:r>
    </w:p>
    <w:p w:rsidR="005D7BFD" w:rsidP="005D7BFD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BD2511" w:rsidP="00BD2511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P="00BD2511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28">
      <w:r>
        <w:separator/>
      </w:r>
    </w:p>
  </w:footnote>
  <w:footnote w:type="continuationSeparator" w:id="1">
    <w:p w:rsidR="00664728">
      <w:r>
        <w:continuationSeparator/>
      </w:r>
    </w:p>
  </w:footnote>
  <w:footnote w:id="2">
    <w:p w:rsidR="006C0C98" w:rsidRPr="00BD6700" w:rsidP="00BD670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FootnoteReference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Pr="0001228D" w:rsidR="003E405C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Pr="0001228D" w:rsidR="003E405C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642171" w:rsidP="00893F98">
      <w:pPr>
        <w:pStyle w:val="FootnoteText"/>
        <w:rPr>
          <w:rFonts w:ascii="Arial" w:hAnsi="Arial" w:cs="Arial"/>
          <w:sz w:val="18"/>
          <w:szCs w:val="18"/>
        </w:rPr>
      </w:pPr>
      <w:r w:rsidRPr="00642171">
        <w:rPr>
          <w:rStyle w:val="FootnoteReference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:rsidR="006C0C98" w:rsidRPr="00642171" w:rsidP="00893F98">
      <w:pPr>
        <w:pStyle w:val="FootnoteText"/>
        <w:rPr>
          <w:rFonts w:ascii="Arial" w:hAnsi="Arial" w:cs="Arial"/>
          <w:sz w:val="18"/>
          <w:szCs w:val="18"/>
        </w:rPr>
      </w:pPr>
      <w:r w:rsidRPr="00642171">
        <w:rPr>
          <w:rStyle w:val="FootnoteReference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 w:rsidRPr="00642171">
        <w:rPr>
          <w:rFonts w:ascii="Arial" w:hAnsi="Arial" w:cs="Arial"/>
          <w:sz w:val="18"/>
          <w:szCs w:val="18"/>
        </w:rPr>
        <w:t>2 odst. 2 zákona o místních poplatcích</w:t>
      </w:r>
    </w:p>
  </w:footnote>
  <w:footnote w:id="5">
    <w:p w:rsidR="008E3295" w:rsidRPr="0001228D" w:rsidP="008E3295">
      <w:pPr>
        <w:pStyle w:val="FootnoteText"/>
        <w:rPr>
          <w:rFonts w:ascii="Arial" w:hAnsi="Arial" w:cs="Arial"/>
          <w:sz w:val="18"/>
          <w:szCs w:val="18"/>
        </w:rPr>
      </w:pPr>
      <w:r w:rsidRPr="0001228D">
        <w:rPr>
          <w:rStyle w:val="FootnoteReference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Pr="0001228D" w:rsidR="00C444BF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01228D" w:rsidP="00893F98">
      <w:pPr>
        <w:pStyle w:val="FootnoteText"/>
        <w:rPr>
          <w:rFonts w:ascii="Arial" w:hAnsi="Arial" w:cs="Arial"/>
          <w:sz w:val="18"/>
          <w:szCs w:val="18"/>
        </w:rPr>
      </w:pPr>
      <w:r w:rsidRPr="0001228D">
        <w:rPr>
          <w:rStyle w:val="FootnoteReference"/>
          <w:rFonts w:ascii="Arial" w:hAnsi="Arial" w:cs="Arial"/>
          <w:sz w:val="18"/>
          <w:szCs w:val="18"/>
        </w:rPr>
        <w:footnoteRef/>
      </w:r>
      <w:r w:rsidRPr="0001228D" w:rsidR="008610F1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</w:t>
      </w:r>
      <w:r w:rsidRPr="0001228D">
        <w:rPr>
          <w:rFonts w:ascii="Arial" w:hAnsi="Arial" w:cs="Arial"/>
          <w:sz w:val="18"/>
          <w:szCs w:val="18"/>
        </w:rPr>
        <w:t>ních poplatcích</w:t>
      </w:r>
    </w:p>
  </w:footnote>
  <w:footnote w:id="7">
    <w:p w:rsidR="00C15090" w:rsidP="00C150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6C0C98" w:rsidRPr="006E461F" w:rsidP="00893F98">
      <w:pPr>
        <w:pStyle w:val="FootnoteText"/>
        <w:rPr>
          <w:rFonts w:ascii="Arial" w:hAnsi="Arial" w:cs="Arial"/>
          <w:sz w:val="18"/>
          <w:szCs w:val="18"/>
        </w:rPr>
      </w:pPr>
      <w:r w:rsidRPr="006E461F">
        <w:rPr>
          <w:rStyle w:val="FootnoteReference"/>
          <w:rFonts w:ascii="Arial" w:hAnsi="Arial" w:cs="Arial"/>
          <w:sz w:val="18"/>
          <w:szCs w:val="18"/>
        </w:rPr>
        <w:footnoteRef/>
      </w:r>
      <w:r w:rsidRPr="006E461F" w:rsidR="00FA6D81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6C0C98" w:rsidRPr="00A04C8B" w:rsidP="00893F98">
      <w:pPr>
        <w:pStyle w:val="FootnoteText"/>
        <w:rPr>
          <w:rFonts w:ascii="Arial" w:hAnsi="Arial" w:cs="Arial"/>
          <w:sz w:val="18"/>
          <w:szCs w:val="18"/>
        </w:rPr>
      </w:pPr>
      <w:r w:rsidRPr="006E461F">
        <w:rPr>
          <w:rStyle w:val="FootnoteReference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P="00893F98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P="009E66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2DC4"/>
    <w:rsid w:val="000C3B9B"/>
    <w:rsid w:val="000C6CBB"/>
    <w:rsid w:val="000E2344"/>
    <w:rsid w:val="000F0D72"/>
    <w:rsid w:val="000F18D9"/>
    <w:rsid w:val="00132145"/>
    <w:rsid w:val="00136A67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668D"/>
    <w:rsid w:val="002B7506"/>
    <w:rsid w:val="002C0B37"/>
    <w:rsid w:val="002D2A22"/>
    <w:rsid w:val="002E0EAD"/>
    <w:rsid w:val="002E39EE"/>
    <w:rsid w:val="002E76A6"/>
    <w:rsid w:val="002F3690"/>
    <w:rsid w:val="002F7437"/>
    <w:rsid w:val="00306B8E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5A7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52D1"/>
    <w:rsid w:val="005064A5"/>
    <w:rsid w:val="00511FF1"/>
    <w:rsid w:val="00517C56"/>
    <w:rsid w:val="00521E4B"/>
    <w:rsid w:val="005222E9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D7BFD"/>
    <w:rsid w:val="005E064B"/>
    <w:rsid w:val="005E7A87"/>
    <w:rsid w:val="005F094F"/>
    <w:rsid w:val="005F3CA4"/>
    <w:rsid w:val="00626974"/>
    <w:rsid w:val="0063659F"/>
    <w:rsid w:val="00642171"/>
    <w:rsid w:val="00663C6D"/>
    <w:rsid w:val="00664728"/>
    <w:rsid w:val="00686CC9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6483"/>
    <w:rsid w:val="007D087D"/>
    <w:rsid w:val="007D4229"/>
    <w:rsid w:val="0080616A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F6B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4C8B"/>
    <w:rsid w:val="00A06BC7"/>
    <w:rsid w:val="00A12098"/>
    <w:rsid w:val="00A137CC"/>
    <w:rsid w:val="00A17816"/>
    <w:rsid w:val="00A3719A"/>
    <w:rsid w:val="00A41A87"/>
    <w:rsid w:val="00A42297"/>
    <w:rsid w:val="00A60454"/>
    <w:rsid w:val="00A73F5A"/>
    <w:rsid w:val="00A8365F"/>
    <w:rsid w:val="00A847F8"/>
    <w:rsid w:val="00A97AE5"/>
    <w:rsid w:val="00AC4F2C"/>
    <w:rsid w:val="00B06F1A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76E56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E3D9F"/>
    <w:rsid w:val="00DF5857"/>
    <w:rsid w:val="00E03EE3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0789D"/>
    <w:rsid w:val="00F21B7F"/>
    <w:rsid w:val="00F21D44"/>
    <w:rsid w:val="00F31D41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93F98"/>
    <w:rPr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2Char">
    <w:name w:val="Nadpis 2 Char"/>
    <w:link w:val="Heading2"/>
    <w:semiHidden/>
    <w:rsid w:val="00893F98"/>
    <w:rPr>
      <w:sz w:val="24"/>
      <w:szCs w:val="24"/>
      <w:u w:val="single"/>
      <w:lang w:val="cs-CZ" w:eastAsia="cs-CZ" w:bidi="ar-SA"/>
    </w:rPr>
  </w:style>
  <w:style w:type="paragraph" w:styleId="Header">
    <w:name w:val="header"/>
    <w:basedOn w:val="Normal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893F98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BodyText"/>
    <w:semiHidden/>
    <w:rsid w:val="00893F98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893F98"/>
    <w:rPr>
      <w:noProof/>
      <w:lang w:val="cs-CZ" w:eastAsia="cs-CZ" w:bidi="ar-SA"/>
    </w:rPr>
  </w:style>
  <w:style w:type="character" w:styleId="FootnoteReference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al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rsid w:val="00E66429"/>
    <w:pPr>
      <w:numPr>
        <w:ilvl w:val="0"/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E6604"/>
    <w:rPr>
      <w:sz w:val="16"/>
      <w:szCs w:val="16"/>
    </w:rPr>
  </w:style>
  <w:style w:type="paragraph" w:styleId="CommentText">
    <w:name w:val="annotation text"/>
    <w:basedOn w:val="Normal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C710-6C91-4D7E-A817-86C6A3FA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Martina Nováková</cp:lastModifiedBy>
  <cp:revision>5</cp:revision>
  <cp:lastPrinted>2022-12-15T15:23:00Z</cp:lastPrinted>
  <dcterms:created xsi:type="dcterms:W3CDTF">2022-07-13T14:47:00Z</dcterms:created>
  <dcterms:modified xsi:type="dcterms:W3CDTF">2022-12-15T15:24:00Z</dcterms:modified>
</cp:coreProperties>
</file>