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B0D" w:rsidRDefault="003440CF">
      <w:pPr>
        <w:pStyle w:val="Nzev"/>
      </w:pPr>
      <w:r>
        <w:t>Město Slavkov u Brna</w:t>
      </w:r>
      <w:r>
        <w:br/>
        <w:t>Zastupitelstvo města Slavkov u Brna</w:t>
      </w:r>
    </w:p>
    <w:p w:rsidR="00962B0D" w:rsidRDefault="003440CF">
      <w:pPr>
        <w:pStyle w:val="Nadpis1"/>
      </w:pPr>
      <w:r>
        <w:t>Obecně závazná vyhláška města Slavkov u Brna</w:t>
      </w:r>
      <w:r>
        <w:br/>
        <w:t>o místním poplatku za užívání veřejného prostranství</w:t>
      </w:r>
    </w:p>
    <w:p w:rsidR="00962B0D" w:rsidRDefault="003440CF">
      <w:pPr>
        <w:pStyle w:val="UvodniVeta"/>
      </w:pPr>
      <w:r>
        <w:t>Zastupitelstvo města Slavkov u Brna se na svém zasedání dne 20.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962B0D" w:rsidRDefault="003440CF">
      <w:pPr>
        <w:pStyle w:val="Nadpis2"/>
      </w:pPr>
      <w:r>
        <w:t>Čl. 1</w:t>
      </w:r>
      <w:r>
        <w:br/>
        <w:t>Úvodní ustanovení</w:t>
      </w:r>
    </w:p>
    <w:p w:rsidR="00962B0D" w:rsidRDefault="003440CF">
      <w:pPr>
        <w:pStyle w:val="Odstavec"/>
        <w:numPr>
          <w:ilvl w:val="0"/>
          <w:numId w:val="1"/>
        </w:numPr>
      </w:pPr>
      <w:r>
        <w:t>Město Slavkov u Brna touto vyhláškou zavádí místní poplatek za užívání veřejného prostranství (dále jen „poplatek“).</w:t>
      </w:r>
    </w:p>
    <w:p w:rsidR="00962B0D" w:rsidRDefault="00BB5BE2">
      <w:pPr>
        <w:pStyle w:val="Odstavec"/>
        <w:numPr>
          <w:ilvl w:val="0"/>
          <w:numId w:val="1"/>
        </w:numPr>
      </w:pPr>
      <w:r>
        <w:t>Správcem poplatku je M</w:t>
      </w:r>
      <w:r w:rsidR="003440CF">
        <w:t>ěstský úřad</w:t>
      </w:r>
      <w:r>
        <w:t xml:space="preserve"> Slavkov u Brna</w:t>
      </w:r>
      <w:r w:rsidR="003440CF">
        <w:rPr>
          <w:rStyle w:val="Znakapoznpodarou"/>
        </w:rPr>
        <w:footnoteReference w:id="1"/>
      </w:r>
      <w:r w:rsidR="003440CF">
        <w:t>.</w:t>
      </w:r>
    </w:p>
    <w:p w:rsidR="00962B0D" w:rsidRDefault="003440CF">
      <w:pPr>
        <w:pStyle w:val="Nadpis2"/>
      </w:pPr>
      <w:r>
        <w:t>Čl. 2</w:t>
      </w:r>
      <w:r>
        <w:br/>
        <w:t>Předmět poplatku a poplatník</w:t>
      </w:r>
    </w:p>
    <w:p w:rsidR="00962B0D" w:rsidRDefault="003440CF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962B0D" w:rsidRDefault="003440CF">
      <w:pPr>
        <w:pStyle w:val="Odstavec"/>
        <w:numPr>
          <w:ilvl w:val="1"/>
          <w:numId w:val="1"/>
        </w:numPr>
      </w:pPr>
      <w:r>
        <w:t xml:space="preserve">umístění </w:t>
      </w:r>
      <w:r w:rsidR="00483F27">
        <w:t xml:space="preserve">dočasných staveb a </w:t>
      </w:r>
      <w:r>
        <w:t>zařízení sloužících pro poskytování služeb,</w:t>
      </w:r>
    </w:p>
    <w:p w:rsidR="00962B0D" w:rsidRDefault="00483F27">
      <w:pPr>
        <w:pStyle w:val="Odstavec"/>
        <w:numPr>
          <w:ilvl w:val="1"/>
          <w:numId w:val="1"/>
        </w:numPr>
      </w:pPr>
      <w:r>
        <w:t>umístění zařízení</w:t>
      </w:r>
      <w:r w:rsidR="003440CF">
        <w:t xml:space="preserve"> pro poskytování prodeje</w:t>
      </w:r>
      <w:r>
        <w:t xml:space="preserve"> a služeb (restaurační zahrádky)</w:t>
      </w:r>
      <w:r w:rsidR="003440CF">
        <w:t>,</w:t>
      </w:r>
    </w:p>
    <w:p w:rsidR="00962B0D" w:rsidRDefault="003440CF">
      <w:pPr>
        <w:pStyle w:val="Odstavec"/>
        <w:numPr>
          <w:ilvl w:val="1"/>
          <w:numId w:val="1"/>
        </w:numPr>
      </w:pPr>
      <w:r>
        <w:t xml:space="preserve">umístění </w:t>
      </w:r>
      <w:r w:rsidR="00483F27">
        <w:t>dočasných staveb a zařízení sloužících pro poskytování prodeje</w:t>
      </w:r>
      <w:r>
        <w:t>,</w:t>
      </w:r>
    </w:p>
    <w:p w:rsidR="00962B0D" w:rsidRDefault="00327C05">
      <w:pPr>
        <w:pStyle w:val="Odstavec"/>
        <w:numPr>
          <w:ilvl w:val="1"/>
          <w:numId w:val="1"/>
        </w:numPr>
      </w:pPr>
      <w:r>
        <w:t>provádění výkopov</w:t>
      </w:r>
      <w:r w:rsidR="00BC4278">
        <w:t>ých prací</w:t>
      </w:r>
      <w:r>
        <w:t>,</w:t>
      </w:r>
    </w:p>
    <w:p w:rsidR="00962B0D" w:rsidRDefault="00483F27">
      <w:pPr>
        <w:pStyle w:val="Odstavec"/>
        <w:numPr>
          <w:ilvl w:val="1"/>
          <w:numId w:val="1"/>
        </w:numPr>
      </w:pPr>
      <w:r>
        <w:t xml:space="preserve">umístění stavebních </w:t>
      </w:r>
      <w:r w:rsidR="00327C05">
        <w:t>zařízení a stavebního m</w:t>
      </w:r>
      <w:r w:rsidR="00BC4278">
        <w:t>ateriálu,</w:t>
      </w:r>
    </w:p>
    <w:p w:rsidR="00327C05" w:rsidRDefault="00327C05">
      <w:pPr>
        <w:pStyle w:val="Odstavec"/>
        <w:numPr>
          <w:ilvl w:val="1"/>
          <w:numId w:val="1"/>
        </w:numPr>
      </w:pPr>
      <w:r>
        <w:t>umístění dřeva n</w:t>
      </w:r>
      <w:r w:rsidR="00BC4278">
        <w:t>ebo uhlí,</w:t>
      </w:r>
    </w:p>
    <w:p w:rsidR="00327C05" w:rsidRDefault="00327C05">
      <w:pPr>
        <w:pStyle w:val="Odstavec"/>
        <w:numPr>
          <w:ilvl w:val="1"/>
          <w:numId w:val="1"/>
        </w:numPr>
      </w:pPr>
      <w:r>
        <w:t xml:space="preserve">umístění reklamního zařízení včetně typu „A“ mimo památkovou zónu, </w:t>
      </w:r>
    </w:p>
    <w:p w:rsidR="00327C05" w:rsidRDefault="00327C05">
      <w:pPr>
        <w:pStyle w:val="Odstavec"/>
        <w:numPr>
          <w:ilvl w:val="1"/>
          <w:numId w:val="1"/>
        </w:numPr>
      </w:pPr>
      <w:r>
        <w:t>umístění reklamního zařízení včetně typu „A“ při krátkodobém umístění (po dobu nejvýše deseti po sobě následujících dnů v souvislosti s pořádáním jednorázových (propagačních, kulturních, sportovních, prodejních akcí apod.),</w:t>
      </w:r>
    </w:p>
    <w:p w:rsidR="00962B0D" w:rsidRDefault="00386F92">
      <w:pPr>
        <w:pStyle w:val="Odstavec"/>
        <w:numPr>
          <w:ilvl w:val="1"/>
          <w:numId w:val="1"/>
        </w:numPr>
      </w:pPr>
      <w:r>
        <w:t>umístění</w:t>
      </w:r>
      <w:r w:rsidR="00BC4278">
        <w:t xml:space="preserve"> skládek,</w:t>
      </w:r>
    </w:p>
    <w:p w:rsidR="00962B0D" w:rsidRDefault="003440CF">
      <w:pPr>
        <w:pStyle w:val="Odstavec"/>
        <w:numPr>
          <w:ilvl w:val="1"/>
          <w:numId w:val="1"/>
        </w:numPr>
      </w:pPr>
      <w:r>
        <w:t>umístění zařízení cirkusů,</w:t>
      </w:r>
    </w:p>
    <w:p w:rsidR="00962B0D" w:rsidRDefault="003440CF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:rsidR="00962B0D" w:rsidRDefault="003440CF" w:rsidP="00386F92">
      <w:pPr>
        <w:pStyle w:val="Odstavec"/>
        <w:numPr>
          <w:ilvl w:val="1"/>
          <w:numId w:val="1"/>
        </w:numPr>
      </w:pPr>
      <w:r>
        <w:t xml:space="preserve">užívání veřejného prostranství pro kulturní </w:t>
      </w:r>
      <w:r w:rsidR="00386F92">
        <w:t xml:space="preserve">a sportovní </w:t>
      </w:r>
      <w:r>
        <w:t>akce,</w:t>
      </w:r>
    </w:p>
    <w:p w:rsidR="00962B0D" w:rsidRDefault="003440CF">
      <w:pPr>
        <w:pStyle w:val="Odstavec"/>
        <w:numPr>
          <w:ilvl w:val="1"/>
          <w:numId w:val="1"/>
        </w:numPr>
      </w:pPr>
      <w:r>
        <w:t>užívání veřejného prostranství pro potřeby tvo</w:t>
      </w:r>
      <w:r w:rsidR="00386F92">
        <w:t>rby filmových a televizních děl,</w:t>
      </w:r>
    </w:p>
    <w:p w:rsidR="00386F92" w:rsidRDefault="00386F92" w:rsidP="00386F92">
      <w:pPr>
        <w:pStyle w:val="Odstavec"/>
        <w:numPr>
          <w:ilvl w:val="1"/>
          <w:numId w:val="1"/>
        </w:numPr>
      </w:pPr>
      <w:r>
        <w:t>vyhrazení trvalého parkovacího místa.</w:t>
      </w:r>
    </w:p>
    <w:p w:rsidR="00386F92" w:rsidRDefault="00386F92" w:rsidP="00386F92">
      <w:pPr>
        <w:pStyle w:val="Odstavec"/>
        <w:ind w:left="567"/>
      </w:pPr>
    </w:p>
    <w:p w:rsidR="00962B0D" w:rsidRDefault="003440CF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962B0D" w:rsidRDefault="003440CF">
      <w:pPr>
        <w:pStyle w:val="Nadpis2"/>
      </w:pPr>
      <w:r>
        <w:t>Čl. 3</w:t>
      </w:r>
      <w:r>
        <w:br/>
        <w:t>Veřejná prostranství</w:t>
      </w:r>
    </w:p>
    <w:p w:rsidR="00962B0D" w:rsidRDefault="003440CF">
      <w:pPr>
        <w:pStyle w:val="Odstavec"/>
      </w:pPr>
      <w:r>
        <w:t>Poplatek se platí za užívání veřejného prost</w:t>
      </w:r>
      <w:r w:rsidR="00CD1CCD">
        <w:t>ranství, kterým se rozumí</w:t>
      </w:r>
      <w:r>
        <w:t xml:space="preserve"> </w:t>
      </w:r>
      <w:r w:rsidR="00386F92">
        <w:t>ulice</w:t>
      </w:r>
      <w:r w:rsidR="00CD1CCD">
        <w:t xml:space="preserve">: </w:t>
      </w:r>
      <w:r w:rsidR="00386F92">
        <w:t xml:space="preserve"> </w:t>
      </w:r>
      <w:r>
        <w:t>Bo</w:t>
      </w:r>
      <w:r w:rsidR="00386F92">
        <w:t xml:space="preserve">ženy Němcové, Bezručova, </w:t>
      </w:r>
      <w:r>
        <w:t xml:space="preserve">Brněnská, Bučovická, Čapkova, Čelakovského, Československé armády, </w:t>
      </w:r>
      <w:proofErr w:type="spellStart"/>
      <w:proofErr w:type="gramStart"/>
      <w:r>
        <w:t>Čsl.Červeného</w:t>
      </w:r>
      <w:proofErr w:type="spellEnd"/>
      <w:proofErr w:type="gramEnd"/>
      <w:r>
        <w:t xml:space="preserve"> kříže, Dvořákova, Dvůr Rybník, Foerstrova, Fügnerova, Havlíčkova, Hradební, Husova, Jiráskova, </w:t>
      </w:r>
      <w:proofErr w:type="spellStart"/>
      <w:r>
        <w:t>Kaunicova</w:t>
      </w:r>
      <w:proofErr w:type="spellEnd"/>
      <w:r>
        <w:t xml:space="preserve">, Koláčkovo náměstí, Kollárova, Komenského náměstí, Krátká, </w:t>
      </w:r>
      <w:proofErr w:type="spellStart"/>
      <w:r>
        <w:t>Křenovická</w:t>
      </w:r>
      <w:proofErr w:type="spellEnd"/>
      <w:r>
        <w:t xml:space="preserve">, Lesní, Lidická, Litavská, Lomená, Luční, </w:t>
      </w:r>
      <w:proofErr w:type="spellStart"/>
      <w:r>
        <w:t>Malčevského</w:t>
      </w:r>
      <w:proofErr w:type="spellEnd"/>
      <w:r>
        <w:t xml:space="preserve">, Malinovského, Mánesova, Na golfovém hřišti, Na vyhlídce, Nádražní, Nerudova, Okružní, Palackého náměstí, Pod Oborou, Pod Vinohrady, Polní, Příční, Purkyňova, Pustá, Sadová, sídliště Nádražní, Slovákova, Slovanská, Slunečná, Smetanova, Sušilova, Špitálská, Topolová, Tylova, Tyršova, U Mlýna, U Mokřadu, U Splavu, U Stadionu, U </w:t>
      </w:r>
      <w:proofErr w:type="spellStart"/>
      <w:r>
        <w:t>synogogy</w:t>
      </w:r>
      <w:proofErr w:type="spellEnd"/>
      <w:r>
        <w:t>, u Valu I., U Valu II., U Vily, Úzká, Větrná, Za Branou, Zahradní, Zámecká, Zborovská, Zelnice I, Zelnice II, Zelnice II., Zelni</w:t>
      </w:r>
      <w:r w:rsidR="009E2AF9">
        <w:t>ce III, Zelnice IV., Zelnice V., Zlatá Hora.</w:t>
      </w:r>
    </w:p>
    <w:p w:rsidR="00962B0D" w:rsidRDefault="003440CF">
      <w:pPr>
        <w:pStyle w:val="Nadpis2"/>
      </w:pPr>
      <w:r>
        <w:t>Čl. 4</w:t>
      </w:r>
      <w:r>
        <w:br/>
        <w:t>Ohlašovací povinnost</w:t>
      </w:r>
    </w:p>
    <w:p w:rsidR="00962B0D" w:rsidRDefault="003440CF">
      <w:pPr>
        <w:pStyle w:val="Odstavec"/>
        <w:numPr>
          <w:ilvl w:val="0"/>
          <w:numId w:val="3"/>
        </w:numPr>
      </w:pPr>
      <w:r>
        <w:t>Poplatník je povinen podat správci poplatku ohlášení nejpozději 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:rsidR="00962B0D" w:rsidRDefault="003440CF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Znakapoznpodarou"/>
        </w:rPr>
        <w:footnoteReference w:id="4"/>
      </w:r>
      <w:r>
        <w:t>.</w:t>
      </w:r>
    </w:p>
    <w:p w:rsidR="00962B0D" w:rsidRDefault="003440CF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5"/>
      </w:r>
      <w:r>
        <w:t>.</w:t>
      </w:r>
    </w:p>
    <w:p w:rsidR="00962B0D" w:rsidRDefault="003440CF">
      <w:pPr>
        <w:pStyle w:val="Nadpis2"/>
      </w:pPr>
      <w:r>
        <w:t>Čl. 5</w:t>
      </w:r>
      <w:r>
        <w:br/>
        <w:t>Sazba poplatku</w:t>
      </w:r>
    </w:p>
    <w:p w:rsidR="00962B0D" w:rsidRDefault="001D5B60" w:rsidP="001D5B60">
      <w:pPr>
        <w:pStyle w:val="Odstavec"/>
      </w:pPr>
      <w:r>
        <w:t xml:space="preserve">(1) </w:t>
      </w:r>
      <w:r w:rsidR="003440CF">
        <w:t>Sazba poplatku činí za každý i započatý m² a každý i započatý den:</w:t>
      </w:r>
    </w:p>
    <w:p w:rsidR="004D292E" w:rsidRDefault="004D292E" w:rsidP="004D292E">
      <w:pPr>
        <w:pStyle w:val="Odstavec"/>
        <w:ind w:left="720"/>
      </w:pPr>
    </w:p>
    <w:p w:rsidR="00962B0D" w:rsidRDefault="003440CF">
      <w:pPr>
        <w:pStyle w:val="Odstavec"/>
        <w:numPr>
          <w:ilvl w:val="1"/>
          <w:numId w:val="1"/>
        </w:numPr>
      </w:pPr>
      <w:r>
        <w:t xml:space="preserve">za umístění </w:t>
      </w:r>
      <w:r w:rsidR="00BA5210">
        <w:t xml:space="preserve">dočasných staveb </w:t>
      </w:r>
      <w:r w:rsidR="00F5475B">
        <w:t xml:space="preserve">a </w:t>
      </w:r>
      <w:r>
        <w:t>zařízení sloužících pro poskytování služeb 10 Kč,</w:t>
      </w:r>
    </w:p>
    <w:p w:rsidR="00962B0D" w:rsidRDefault="003440CF">
      <w:pPr>
        <w:pStyle w:val="Odstavec"/>
        <w:numPr>
          <w:ilvl w:val="1"/>
          <w:numId w:val="1"/>
        </w:numPr>
      </w:pPr>
      <w:r>
        <w:t xml:space="preserve">za umístění zařízení sloužících pro poskytování </w:t>
      </w:r>
      <w:r w:rsidR="009E2AF9">
        <w:t>prodeje a služeb (restaurační zahrádky)</w:t>
      </w:r>
      <w:r w:rsidR="004C5106">
        <w:t xml:space="preserve"> 5</w:t>
      </w:r>
      <w:r>
        <w:t> Kč,</w:t>
      </w:r>
    </w:p>
    <w:p w:rsidR="00BA5210" w:rsidRDefault="00BA5210">
      <w:pPr>
        <w:pStyle w:val="Odstavec"/>
        <w:numPr>
          <w:ilvl w:val="1"/>
          <w:numId w:val="1"/>
        </w:numPr>
      </w:pPr>
      <w:r>
        <w:t>za umístění dočasných staveb sloužících pro poskytování prodeje 10 Kč,</w:t>
      </w:r>
    </w:p>
    <w:p w:rsidR="00962B0D" w:rsidRDefault="003440CF">
      <w:pPr>
        <w:pStyle w:val="Odstavec"/>
        <w:numPr>
          <w:ilvl w:val="1"/>
          <w:numId w:val="1"/>
        </w:numPr>
      </w:pPr>
      <w:r>
        <w:t xml:space="preserve">za umístění </w:t>
      </w:r>
      <w:r w:rsidR="009E2AF9">
        <w:t>zařízení sloužících pro poskytování prodeje</w:t>
      </w:r>
      <w:r>
        <w:t xml:space="preserve"> </w:t>
      </w:r>
      <w:r w:rsidR="00F5475B">
        <w:t>50</w:t>
      </w:r>
      <w:r w:rsidR="009E2AF9">
        <w:t xml:space="preserve"> </w:t>
      </w:r>
      <w:r>
        <w:t>Kč,</w:t>
      </w:r>
    </w:p>
    <w:p w:rsidR="00962B0D" w:rsidRDefault="003440CF">
      <w:pPr>
        <w:pStyle w:val="Odstavec"/>
        <w:numPr>
          <w:ilvl w:val="1"/>
          <w:numId w:val="1"/>
        </w:numPr>
      </w:pPr>
      <w:r>
        <w:t xml:space="preserve">za provádění výkopových prací </w:t>
      </w:r>
      <w:r w:rsidR="009E2AF9">
        <w:t>5</w:t>
      </w:r>
      <w:r>
        <w:t> Kč,</w:t>
      </w:r>
    </w:p>
    <w:p w:rsidR="00962B0D" w:rsidRDefault="003440CF">
      <w:pPr>
        <w:pStyle w:val="Odstavec"/>
        <w:numPr>
          <w:ilvl w:val="1"/>
          <w:numId w:val="1"/>
        </w:numPr>
      </w:pPr>
      <w:r>
        <w:t xml:space="preserve">za umístění </w:t>
      </w:r>
      <w:r w:rsidR="00D723F9">
        <w:t>stavebního</w:t>
      </w:r>
      <w:r w:rsidR="009E2AF9">
        <w:t xml:space="preserve"> zařízení a stavebního </w:t>
      </w:r>
      <w:r w:rsidR="00BB5F5B">
        <w:t xml:space="preserve">materiálu </w:t>
      </w:r>
      <w:r w:rsidR="009E2AF9">
        <w:t>2</w:t>
      </w:r>
      <w:r>
        <w:t> Kč,</w:t>
      </w:r>
    </w:p>
    <w:p w:rsidR="00962B0D" w:rsidRDefault="003440CF">
      <w:pPr>
        <w:pStyle w:val="Odstavec"/>
        <w:numPr>
          <w:ilvl w:val="1"/>
          <w:numId w:val="1"/>
        </w:numPr>
      </w:pPr>
      <w:r>
        <w:lastRenderedPageBreak/>
        <w:t xml:space="preserve">za umístění </w:t>
      </w:r>
      <w:r w:rsidR="009E2AF9">
        <w:t>dřeva n</w:t>
      </w:r>
      <w:r w:rsidR="00BC4278">
        <w:t xml:space="preserve">ebo uhlí </w:t>
      </w:r>
      <w:r w:rsidR="00ED7E79">
        <w:t>10</w:t>
      </w:r>
      <w:r>
        <w:t> Kč,</w:t>
      </w:r>
    </w:p>
    <w:p w:rsidR="00962B0D" w:rsidRDefault="003440CF">
      <w:pPr>
        <w:pStyle w:val="Odstavec"/>
        <w:numPr>
          <w:ilvl w:val="1"/>
          <w:numId w:val="1"/>
        </w:numPr>
      </w:pPr>
      <w:r>
        <w:t xml:space="preserve">za umístění </w:t>
      </w:r>
      <w:r w:rsidR="00ED7E79">
        <w:t>reklamního zařízení včetně typu „A“ mimo památkovou zónu 5</w:t>
      </w:r>
      <w:r>
        <w:t> Kč,</w:t>
      </w:r>
    </w:p>
    <w:p w:rsidR="00962B0D" w:rsidRDefault="003440CF">
      <w:pPr>
        <w:pStyle w:val="Odstavec"/>
        <w:numPr>
          <w:ilvl w:val="1"/>
          <w:numId w:val="1"/>
        </w:numPr>
      </w:pPr>
      <w:r>
        <w:t xml:space="preserve">za umístění </w:t>
      </w:r>
      <w:r w:rsidR="00ED7E79">
        <w:t xml:space="preserve">reklamního zařízení včetně typu „A“ při krátkodobém umístění (po dobu nejvýše deseti po sobě následujících dnů v souvislosti s pořádáním jednorázových (propagačních, kulturních, sportovních, prodejních akcí apod.)    </w:t>
      </w:r>
      <w:r>
        <w:t>1</w:t>
      </w:r>
      <w:r w:rsidR="00ED7E79">
        <w:t>0</w:t>
      </w:r>
      <w:r>
        <w:t> Kč,</w:t>
      </w:r>
    </w:p>
    <w:p w:rsidR="00962B0D" w:rsidRDefault="003440CF">
      <w:pPr>
        <w:pStyle w:val="Odstavec"/>
        <w:numPr>
          <w:ilvl w:val="1"/>
          <w:numId w:val="1"/>
        </w:numPr>
      </w:pPr>
      <w:r>
        <w:t>za </w:t>
      </w:r>
      <w:r w:rsidR="005B7865">
        <w:t>umístění</w:t>
      </w:r>
      <w:r w:rsidR="00BC4278">
        <w:t xml:space="preserve"> skládek </w:t>
      </w:r>
      <w:r w:rsidR="005B7865">
        <w:t xml:space="preserve">5 </w:t>
      </w:r>
      <w:r>
        <w:t>Kč,</w:t>
      </w:r>
    </w:p>
    <w:p w:rsidR="00962B0D" w:rsidRDefault="003440CF">
      <w:pPr>
        <w:pStyle w:val="Odstavec"/>
        <w:numPr>
          <w:ilvl w:val="1"/>
          <w:numId w:val="1"/>
        </w:numPr>
      </w:pPr>
      <w:r>
        <w:t>za </w:t>
      </w:r>
      <w:r w:rsidR="005B7865">
        <w:t xml:space="preserve">umístění zařízení cirkusů </w:t>
      </w:r>
      <w:r>
        <w:t>5 Kč,</w:t>
      </w:r>
    </w:p>
    <w:p w:rsidR="00962B0D" w:rsidRDefault="003440CF">
      <w:pPr>
        <w:pStyle w:val="Odstavec"/>
        <w:numPr>
          <w:ilvl w:val="1"/>
          <w:numId w:val="1"/>
        </w:numPr>
      </w:pPr>
      <w:r>
        <w:t>za </w:t>
      </w:r>
      <w:r w:rsidR="005B7865">
        <w:t xml:space="preserve">umístění zařízení lunaparků a jiných obdobných atrakcí </w:t>
      </w:r>
      <w:r>
        <w:t>5 Kč,</w:t>
      </w:r>
    </w:p>
    <w:p w:rsidR="00962B0D" w:rsidRDefault="003440CF">
      <w:pPr>
        <w:pStyle w:val="Odstavec"/>
        <w:numPr>
          <w:ilvl w:val="1"/>
          <w:numId w:val="1"/>
        </w:numPr>
      </w:pPr>
      <w:r>
        <w:t>za </w:t>
      </w:r>
      <w:r w:rsidR="004D292E">
        <w:t>užívání veřejného prostranství pro kulturní a sportovní akce 5 Kč,</w:t>
      </w:r>
    </w:p>
    <w:p w:rsidR="004D292E" w:rsidRDefault="004D292E">
      <w:pPr>
        <w:pStyle w:val="Odstavec"/>
        <w:numPr>
          <w:ilvl w:val="1"/>
          <w:numId w:val="1"/>
        </w:numPr>
      </w:pPr>
      <w:r>
        <w:t>za užívání veřejného prostranství pro potřeby tvorby filmových a televizních děl 5 Kč.</w:t>
      </w:r>
    </w:p>
    <w:p w:rsidR="004D292E" w:rsidRDefault="004D292E" w:rsidP="004D292E">
      <w:pPr>
        <w:pStyle w:val="Odstavec"/>
        <w:ind w:left="964"/>
      </w:pPr>
    </w:p>
    <w:p w:rsidR="004D292E" w:rsidRDefault="001D5B60" w:rsidP="001D5B60">
      <w:pPr>
        <w:pStyle w:val="Odstavec"/>
      </w:pPr>
      <w:r>
        <w:t xml:space="preserve">(2) </w:t>
      </w:r>
      <w:r w:rsidR="004D292E">
        <w:t xml:space="preserve">Poplatek za vyhrazení trvalého parkovacího místa se stanovuje paušální částkou ve výši 3 000 Kč/rok. </w:t>
      </w:r>
    </w:p>
    <w:p w:rsidR="00962B0D" w:rsidRDefault="003440CF">
      <w:pPr>
        <w:pStyle w:val="Nadpis2"/>
      </w:pPr>
      <w:r>
        <w:t>Čl. 6</w:t>
      </w:r>
      <w:r>
        <w:br/>
        <w:t>Splatnost poplatku</w:t>
      </w:r>
    </w:p>
    <w:p w:rsidR="0035160C" w:rsidRDefault="001D5B60" w:rsidP="005A749A">
      <w:pPr>
        <w:pStyle w:val="Odstavec"/>
      </w:pPr>
      <w:r>
        <w:t xml:space="preserve">(1) </w:t>
      </w:r>
      <w:r w:rsidR="003440CF">
        <w:t xml:space="preserve">Poplatek </w:t>
      </w:r>
      <w:r w:rsidR="005A749A">
        <w:t>ve stanovené výši je splatný n</w:t>
      </w:r>
      <w:r w:rsidR="0035160C">
        <w:t xml:space="preserve">ejpozději do </w:t>
      </w:r>
      <w:r w:rsidR="005A749A">
        <w:t>30</w:t>
      </w:r>
      <w:r w:rsidR="0035160C">
        <w:t xml:space="preserve"> dnů od ukončení užívání veřejného prostranství.</w:t>
      </w:r>
    </w:p>
    <w:p w:rsidR="00962B0D" w:rsidRDefault="001D5B60" w:rsidP="001D5B60">
      <w:pPr>
        <w:pStyle w:val="Odstavec"/>
      </w:pPr>
      <w:r>
        <w:t xml:space="preserve">(2) </w:t>
      </w:r>
      <w:r w:rsidR="0035160C">
        <w:t>Poplatek stanovený paušální částkou je splatný je</w:t>
      </w:r>
      <w:r w:rsidR="00EF3B58">
        <w:t>dnorázově do konce měsíce ledna následujícíh</w:t>
      </w:r>
      <w:r w:rsidR="0035160C">
        <w:t>o kalendářního roku.</w:t>
      </w:r>
    </w:p>
    <w:p w:rsidR="0035160C" w:rsidRDefault="001D5B60" w:rsidP="001D5B60">
      <w:pPr>
        <w:pStyle w:val="Odstavec"/>
      </w:pPr>
      <w:r>
        <w:t>(3)</w:t>
      </w:r>
      <w:r w:rsidR="0035160C">
        <w:t xml:space="preserve">Připadne-li lhůta splatnosti na sobotu, neděli nebo státem uznaný svátek, je dnem, ve kterém je poplatník povinen svoji povinnost splnit, nejblíže následující pracovní den. </w:t>
      </w:r>
    </w:p>
    <w:p w:rsidR="00962B0D" w:rsidRDefault="003440CF">
      <w:pPr>
        <w:pStyle w:val="Nadpis2"/>
      </w:pPr>
      <w:r>
        <w:t>Čl. 7</w:t>
      </w:r>
      <w:r>
        <w:br/>
        <w:t xml:space="preserve"> Osvobození</w:t>
      </w:r>
    </w:p>
    <w:p w:rsidR="00962B0D" w:rsidRDefault="001D5B60" w:rsidP="001D5B60">
      <w:pPr>
        <w:pStyle w:val="Odstavec"/>
        <w:jc w:val="left"/>
      </w:pPr>
      <w:r>
        <w:t xml:space="preserve">(1) </w:t>
      </w:r>
      <w:r w:rsidR="003440CF">
        <w:t>Poplatek se neplatí:</w:t>
      </w:r>
    </w:p>
    <w:p w:rsidR="00962B0D" w:rsidRDefault="003440CF" w:rsidP="00E62A90">
      <w:pPr>
        <w:pStyle w:val="Odstavec"/>
        <w:numPr>
          <w:ilvl w:val="1"/>
          <w:numId w:val="16"/>
        </w:numPr>
      </w:pPr>
      <w:r>
        <w:t>za vyhrazení trvalého parkovacího místa pro osobu, která je držitelem průkazu ZTP nebo ZTP/P,</w:t>
      </w:r>
    </w:p>
    <w:p w:rsidR="00962B0D" w:rsidRDefault="003440CF" w:rsidP="00E62A90">
      <w:pPr>
        <w:pStyle w:val="Odstavec"/>
        <w:numPr>
          <w:ilvl w:val="1"/>
          <w:numId w:val="16"/>
        </w:numPr>
      </w:pPr>
      <w:r>
        <w:t>z akcí pořádaných na veřejném prostranství, jejichž celý výtěžek je odveden na charitativní a veřejně prospěšné účely</w:t>
      </w:r>
      <w:r w:rsidR="00300392">
        <w:t>,</w:t>
      </w:r>
      <w:r>
        <w:rPr>
          <w:rStyle w:val="Znakapoznpodarou"/>
        </w:rPr>
        <w:footnoteReference w:id="6"/>
      </w:r>
    </w:p>
    <w:p w:rsidR="00300392" w:rsidRDefault="00300392" w:rsidP="00E62A90">
      <w:pPr>
        <w:pStyle w:val="Odstavec"/>
        <w:numPr>
          <w:ilvl w:val="1"/>
          <w:numId w:val="16"/>
        </w:numPr>
      </w:pPr>
      <w:r>
        <w:t>za užívání veřejného prostranství městem Slavkov u Brna, jím zřízenými příspěvkovými organizacemi, organizačními složkami města, církvemi a náboženskými společnostmi,</w:t>
      </w:r>
    </w:p>
    <w:p w:rsidR="00300392" w:rsidRDefault="00300392" w:rsidP="00E62A90">
      <w:pPr>
        <w:pStyle w:val="Odstavec"/>
        <w:numPr>
          <w:ilvl w:val="1"/>
          <w:numId w:val="16"/>
        </w:numPr>
      </w:pPr>
      <w:r>
        <w:t xml:space="preserve">za vyhrazení trvalého parkovacího místa pro vozidla Policie ČR, Městské policie Slavkov u Brna, požárních útvarů, zdravotní záchranné služby, České pošty, </w:t>
      </w:r>
      <w:proofErr w:type="spellStart"/>
      <w:proofErr w:type="gramStart"/>
      <w:r>
        <w:t>s.p</w:t>
      </w:r>
      <w:proofErr w:type="spellEnd"/>
      <w:r>
        <w:t>.</w:t>
      </w:r>
      <w:proofErr w:type="gramEnd"/>
    </w:p>
    <w:p w:rsidR="00962B0D" w:rsidRDefault="001D5B60" w:rsidP="001D5B60">
      <w:pPr>
        <w:pStyle w:val="Odstavec"/>
      </w:pPr>
      <w:r>
        <w:t xml:space="preserve">(2) </w:t>
      </w:r>
      <w:r w:rsidR="003440CF">
        <w:t>Od poplatku se dále osvobozují:</w:t>
      </w:r>
    </w:p>
    <w:p w:rsidR="009A07B8" w:rsidRDefault="009A07B8" w:rsidP="009A07B8">
      <w:pPr>
        <w:pStyle w:val="Odstavec"/>
        <w:numPr>
          <w:ilvl w:val="0"/>
          <w:numId w:val="14"/>
        </w:numPr>
      </w:pPr>
      <w:r>
        <w:t>provádění výkopových prací do 10 dnů užívání veřejného prostranství,</w:t>
      </w:r>
    </w:p>
    <w:p w:rsidR="009A07B8" w:rsidRDefault="009A07B8" w:rsidP="009A07B8">
      <w:pPr>
        <w:pStyle w:val="Odstavec"/>
        <w:numPr>
          <w:ilvl w:val="0"/>
          <w:numId w:val="14"/>
        </w:numPr>
      </w:pPr>
      <w:r>
        <w:lastRenderedPageBreak/>
        <w:t>umístění stavebních zařízení a stavebního materiálu do 10 dnů užívání veřejného prostranství,</w:t>
      </w:r>
    </w:p>
    <w:p w:rsidR="009A07B8" w:rsidRDefault="009A07B8" w:rsidP="009A07B8">
      <w:pPr>
        <w:pStyle w:val="Odstavec"/>
        <w:numPr>
          <w:ilvl w:val="0"/>
          <w:numId w:val="14"/>
        </w:numPr>
      </w:pPr>
      <w:r>
        <w:t>umístění dřeva nebo uhlí do 10 dnů užívání veřejného prostranství,</w:t>
      </w:r>
    </w:p>
    <w:p w:rsidR="009A07B8" w:rsidRDefault="009A07B8" w:rsidP="009A07B8">
      <w:pPr>
        <w:pStyle w:val="Odstavec"/>
        <w:numPr>
          <w:ilvl w:val="0"/>
          <w:numId w:val="14"/>
        </w:numPr>
      </w:pPr>
      <w:r>
        <w:t>pořádání kulturních a sportovních akcí pro děti a mládež,</w:t>
      </w:r>
    </w:p>
    <w:p w:rsidR="009A07B8" w:rsidRDefault="00B1657B" w:rsidP="009A07B8">
      <w:pPr>
        <w:pStyle w:val="Odstavec"/>
        <w:numPr>
          <w:ilvl w:val="0"/>
          <w:numId w:val="14"/>
        </w:numPr>
      </w:pPr>
      <w:r>
        <w:t>akce pořádané na veřejném prostranství bez vstupného,</w:t>
      </w:r>
    </w:p>
    <w:p w:rsidR="001D5B60" w:rsidRDefault="00B1657B" w:rsidP="00E62A90">
      <w:pPr>
        <w:pStyle w:val="Odstavec"/>
        <w:numPr>
          <w:ilvl w:val="0"/>
          <w:numId w:val="14"/>
        </w:numPr>
      </w:pPr>
      <w:r>
        <w:t xml:space="preserve">umístění skládky do 10 dnů užívání veřejného prostranství. </w:t>
      </w:r>
    </w:p>
    <w:p w:rsidR="009A07B8" w:rsidRDefault="001D5B60" w:rsidP="001D5B60">
      <w:pPr>
        <w:pStyle w:val="Odstavec"/>
      </w:pPr>
      <w:r>
        <w:t>(3)</w:t>
      </w:r>
      <w:r w:rsidR="00E62A90">
        <w:t xml:space="preserve"> Údaj rozhodný pro osvobození nebo úlevu dle odst. 1 a 2 tohoto článku</w:t>
      </w:r>
      <w:r w:rsidR="00B52089">
        <w:t xml:space="preserve"> je poplatník povinen ohlásit ve lhůtě 15 dnů ode dne, kdy nastal.</w:t>
      </w:r>
      <w:r w:rsidR="00E62A90">
        <w:t xml:space="preserve"> </w:t>
      </w:r>
    </w:p>
    <w:p w:rsidR="00962B0D" w:rsidRDefault="001D5B60" w:rsidP="00B52089">
      <w:pPr>
        <w:pStyle w:val="Odstavec"/>
      </w:pPr>
      <w:r>
        <w:t>(</w:t>
      </w:r>
      <w:r w:rsidR="00B52089">
        <w:t xml:space="preserve">4) </w:t>
      </w:r>
      <w:r w:rsidR="003440CF">
        <w:t>V případě, že poplatník nesplní povinnost ohlásit údaj rozhodný pro osvobození ve lhůtách stanovených touto vyhláškou nebo zákonem, nárok na osvobození zaniká</w:t>
      </w:r>
      <w:r w:rsidR="003440CF">
        <w:rPr>
          <w:rStyle w:val="Znakapoznpodarou"/>
        </w:rPr>
        <w:footnoteReference w:id="7"/>
      </w:r>
      <w:r w:rsidR="003440CF">
        <w:t>.</w:t>
      </w:r>
    </w:p>
    <w:p w:rsidR="00CD1CCD" w:rsidRDefault="003440CF">
      <w:pPr>
        <w:pStyle w:val="Nadpis2"/>
      </w:pPr>
      <w:r>
        <w:t>Čl. 8</w:t>
      </w:r>
    </w:p>
    <w:p w:rsidR="00255EBF" w:rsidRDefault="00CD1CCD" w:rsidP="00972F68">
      <w:pPr>
        <w:pStyle w:val="Nadpis2"/>
      </w:pPr>
      <w:r>
        <w:t>Navýšení poplatku</w:t>
      </w:r>
      <w:r w:rsidR="000F7985">
        <w:rPr>
          <w:rStyle w:val="Znakapoznpodarou"/>
        </w:rPr>
        <w:footnoteReference w:id="8"/>
      </w:r>
    </w:p>
    <w:p w:rsidR="00972F68" w:rsidRDefault="001D5B60" w:rsidP="00972F68">
      <w:pPr>
        <w:pStyle w:val="Textbody"/>
        <w:jc w:val="both"/>
        <w:rPr>
          <w:color w:val="000000"/>
          <w:sz w:val="22"/>
          <w:szCs w:val="22"/>
          <w:shd w:val="clear" w:color="auto" w:fill="FFFFFF"/>
        </w:rPr>
      </w:pPr>
      <w:r>
        <w:t>(</w:t>
      </w:r>
      <w:r w:rsidR="00972F68">
        <w:t xml:space="preserve">1) </w:t>
      </w:r>
      <w:r w:rsidR="00972F68" w:rsidRPr="00972F68">
        <w:rPr>
          <w:color w:val="000000"/>
          <w:sz w:val="22"/>
          <w:szCs w:val="22"/>
          <w:shd w:val="clear" w:color="auto" w:fill="FFFFFF"/>
        </w:rPr>
        <w:t>Správce poplatku může poplatkovému subjektu stanovit zvýšení poplatku jako následek za pozdní úhradu poplatku nebo jeho části, a to až do výše dvojnásobku rozdílu mezi částkou poplatku, která má být zaplacena nebo odvedena, a částkou zaplacenou nebo odvedenou do původního dne splatnosti poplatku. Zvýšení poplatku je příslušenstvím poplatku sledujícím jeho osud.</w:t>
      </w:r>
    </w:p>
    <w:p w:rsidR="00477AD3" w:rsidRDefault="001D5B60" w:rsidP="00972F68">
      <w:pPr>
        <w:pStyle w:val="Textbody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(</w:t>
      </w:r>
      <w:r w:rsidR="00477AD3" w:rsidRPr="00477AD3">
        <w:rPr>
          <w:color w:val="000000"/>
          <w:sz w:val="22"/>
          <w:szCs w:val="22"/>
          <w:shd w:val="clear" w:color="auto" w:fill="FFFFFF"/>
        </w:rPr>
        <w:t>2) Poplatkovému subjektu, který zaplatí nebo odvede poplatek ve správné výši opožděně, aniž by dosud bylo vydáno rozhodnutí o vyměření poplatku, může správce poplatku stanovit zvýšení poplatku do 1 roku ode dne opožděného zaplacení nebo odvedení tohoto poplatku, nejpozději však do uplynutí lhůty pro stanovení poplatku.</w:t>
      </w:r>
    </w:p>
    <w:p w:rsidR="00477AD3" w:rsidRDefault="001D5B60" w:rsidP="00972F68">
      <w:pPr>
        <w:pStyle w:val="Textbody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(</w:t>
      </w:r>
      <w:r w:rsidR="00477AD3" w:rsidRPr="00477AD3">
        <w:rPr>
          <w:color w:val="000000"/>
          <w:sz w:val="22"/>
          <w:szCs w:val="22"/>
          <w:shd w:val="clear" w:color="auto" w:fill="FFFFFF"/>
        </w:rPr>
        <w:t>3) Dojde-li k doměření poplatku, správce poplatku může stanovit novou výši zvýšení poplatku.</w:t>
      </w:r>
    </w:p>
    <w:p w:rsidR="00477AD3" w:rsidRDefault="001D5B60" w:rsidP="00972F68">
      <w:pPr>
        <w:pStyle w:val="Textbody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(</w:t>
      </w:r>
      <w:r w:rsidR="00477AD3">
        <w:rPr>
          <w:color w:val="000000"/>
          <w:sz w:val="22"/>
          <w:szCs w:val="22"/>
          <w:shd w:val="clear" w:color="auto" w:fill="FFFFFF"/>
        </w:rPr>
        <w:t>4</w:t>
      </w:r>
      <w:r w:rsidR="00477AD3" w:rsidRPr="0074728F">
        <w:rPr>
          <w:color w:val="000000"/>
          <w:sz w:val="22"/>
          <w:szCs w:val="22"/>
          <w:shd w:val="clear" w:color="auto" w:fill="FFFFFF"/>
        </w:rPr>
        <w:t>) Zvýšení poplatku stanoví správce poplatku poplatkovému subjektu platebním výměrem nebo hromadným předpisným seznamem.</w:t>
      </w:r>
    </w:p>
    <w:p w:rsidR="0074728F" w:rsidRPr="00CF773D" w:rsidRDefault="001D5B60" w:rsidP="00972F68">
      <w:pPr>
        <w:pStyle w:val="Textbody"/>
        <w:jc w:val="both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(</w:t>
      </w:r>
      <w:r w:rsidR="0074728F">
        <w:rPr>
          <w:color w:val="000000"/>
          <w:sz w:val="22"/>
          <w:szCs w:val="22"/>
          <w:shd w:val="clear" w:color="auto" w:fill="FFFFFF"/>
        </w:rPr>
        <w:t>5</w:t>
      </w:r>
      <w:r w:rsidR="0074728F" w:rsidRPr="0074728F">
        <w:rPr>
          <w:color w:val="000000"/>
          <w:sz w:val="22"/>
          <w:szCs w:val="22"/>
          <w:shd w:val="clear" w:color="auto" w:fill="FFFFFF"/>
        </w:rPr>
        <w:t>) Zvýšení poplatku je splatné ve lhůtě 30 dnů ode dne oznámení rozhodnutí o zvýšení poplatku.</w:t>
      </w:r>
    </w:p>
    <w:p w:rsidR="00D723F9" w:rsidRDefault="00D723F9" w:rsidP="00972F68">
      <w:pPr>
        <w:pStyle w:val="Nadpis2"/>
      </w:pPr>
    </w:p>
    <w:p w:rsidR="00962B0D" w:rsidRDefault="00D723F9" w:rsidP="00972F68">
      <w:pPr>
        <w:pStyle w:val="Nadpis2"/>
      </w:pPr>
      <w:r>
        <w:t xml:space="preserve">Čl. 9 </w:t>
      </w:r>
      <w:r w:rsidR="003440CF">
        <w:br/>
        <w:t xml:space="preserve"> Přechodné a zrušovací ustanovení</w:t>
      </w:r>
    </w:p>
    <w:p w:rsidR="00D0695A" w:rsidRDefault="001D5B60" w:rsidP="00D0695A">
      <w:pPr>
        <w:pStyle w:val="Odstavec"/>
      </w:pPr>
      <w:r>
        <w:t>(</w:t>
      </w:r>
      <w:r w:rsidR="00D0695A">
        <w:t xml:space="preserve">1) </w:t>
      </w:r>
      <w:r w:rsidR="003440CF">
        <w:t>Poplatkové povinnosti vzniklé před nabytím účinnosti této vyhlášky se posuzují podle dosavadních právních předpisů.</w:t>
      </w:r>
    </w:p>
    <w:p w:rsidR="00D0695A" w:rsidRDefault="00D0695A" w:rsidP="00D0695A">
      <w:pPr>
        <w:pStyle w:val="Odstavec"/>
      </w:pPr>
    </w:p>
    <w:p w:rsidR="00962B0D" w:rsidRDefault="001D5B60" w:rsidP="00D0695A">
      <w:pPr>
        <w:pStyle w:val="Odstavec"/>
      </w:pPr>
      <w:r>
        <w:t>(</w:t>
      </w:r>
      <w:r w:rsidR="00D0695A">
        <w:t xml:space="preserve">2) </w:t>
      </w:r>
      <w:r w:rsidR="003440CF">
        <w:t>Zrušuje se obecně závazná vyhláška č. 4/2019, o místním poplatku za užívání veřejného prostranství, ze dne 9. prosince 2019.</w:t>
      </w:r>
    </w:p>
    <w:p w:rsidR="00D723F9" w:rsidRDefault="00D723F9" w:rsidP="00D0695A">
      <w:pPr>
        <w:pStyle w:val="Odstavec"/>
      </w:pPr>
    </w:p>
    <w:p w:rsidR="00962B0D" w:rsidRDefault="00D723F9">
      <w:pPr>
        <w:pStyle w:val="Nadpis2"/>
      </w:pPr>
      <w:r>
        <w:lastRenderedPageBreak/>
        <w:t>Čl. 10</w:t>
      </w:r>
      <w:r w:rsidR="003440CF">
        <w:br/>
        <w:t>Účinnost</w:t>
      </w:r>
    </w:p>
    <w:p w:rsidR="00962B0D" w:rsidRDefault="003440CF">
      <w:pPr>
        <w:pStyle w:val="Odstavec"/>
      </w:pPr>
      <w:r>
        <w:t>Tato vyhláška nabývá účinnosti dnem 1. ledna 2024.</w:t>
      </w:r>
    </w:p>
    <w:p w:rsidR="00BB4B14" w:rsidRDefault="00BB4B14">
      <w:pPr>
        <w:pStyle w:val="Odstavec"/>
      </w:pPr>
    </w:p>
    <w:p w:rsidR="00BB4B14" w:rsidRDefault="00BB4B1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962B0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2B0D" w:rsidRDefault="00BB4B14" w:rsidP="00BB4B14">
            <w:pPr>
              <w:pStyle w:val="PodpisovePole"/>
              <w:jc w:val="left"/>
            </w:pPr>
            <w:r>
              <w:t>Bc. Michal Boudný</w:t>
            </w:r>
            <w:r w:rsidR="00BB7414">
              <w:t xml:space="preserve">, </w:t>
            </w:r>
            <w:proofErr w:type="gramStart"/>
            <w:r w:rsidR="00BB7414">
              <w:t>v.r.</w:t>
            </w:r>
            <w:proofErr w:type="gramEnd"/>
            <w:r w:rsidR="003440CF"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2B0D" w:rsidRDefault="00BB4B14">
            <w:pPr>
              <w:pStyle w:val="PodpisovePole"/>
            </w:pPr>
            <w:r>
              <w:t>Ing. Marie Jedličková</w:t>
            </w:r>
            <w:r w:rsidR="00BB7414">
              <w:t>, v.r</w:t>
            </w:r>
            <w:bookmarkStart w:id="0" w:name="_GoBack"/>
            <w:bookmarkEnd w:id="0"/>
            <w:r w:rsidR="003440CF">
              <w:br/>
              <w:t xml:space="preserve"> místostarostka</w:t>
            </w:r>
          </w:p>
        </w:tc>
      </w:tr>
      <w:tr w:rsidR="00962B0D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2B0D" w:rsidRDefault="00962B0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962B0D" w:rsidRDefault="00962B0D">
            <w:pPr>
              <w:pStyle w:val="PodpisovePole"/>
            </w:pPr>
          </w:p>
        </w:tc>
      </w:tr>
    </w:tbl>
    <w:p w:rsidR="003440CF" w:rsidRDefault="003440CF"/>
    <w:sectPr w:rsidR="003440CF">
      <w:footerReference w:type="default" r:id="rId8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0A61" w:rsidRDefault="00F70A61">
      <w:r>
        <w:separator/>
      </w:r>
    </w:p>
  </w:endnote>
  <w:endnote w:type="continuationSeparator" w:id="0">
    <w:p w:rsidR="00F70A61" w:rsidRDefault="00F70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PingFang SC">
    <w:charset w:val="00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7961685"/>
      <w:docPartObj>
        <w:docPartGallery w:val="Page Numbers (Bottom of Page)"/>
        <w:docPartUnique/>
      </w:docPartObj>
    </w:sdtPr>
    <w:sdtEndPr/>
    <w:sdtContent>
      <w:p w:rsidR="0030599C" w:rsidRDefault="0030599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414">
          <w:rPr>
            <w:noProof/>
          </w:rPr>
          <w:t>5</w:t>
        </w:r>
        <w:r>
          <w:fldChar w:fldCharType="end"/>
        </w:r>
      </w:p>
    </w:sdtContent>
  </w:sdt>
  <w:p w:rsidR="0030599C" w:rsidRDefault="0030599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0A61" w:rsidRDefault="00F70A61">
      <w:r>
        <w:rPr>
          <w:color w:val="000000"/>
        </w:rPr>
        <w:separator/>
      </w:r>
    </w:p>
  </w:footnote>
  <w:footnote w:type="continuationSeparator" w:id="0">
    <w:p w:rsidR="00F70A61" w:rsidRDefault="00F70A61">
      <w:r>
        <w:continuationSeparator/>
      </w:r>
    </w:p>
  </w:footnote>
  <w:footnote w:id="1">
    <w:p w:rsidR="00962B0D" w:rsidRDefault="003440CF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962B0D" w:rsidRDefault="003440C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:rsidR="00962B0D" w:rsidRDefault="003440CF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962B0D" w:rsidRDefault="003440CF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5">
    <w:p w:rsidR="00962B0D" w:rsidRDefault="003440CF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6">
    <w:p w:rsidR="00962B0D" w:rsidRDefault="003440CF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7">
    <w:p w:rsidR="00962B0D" w:rsidRDefault="003440CF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  <w:footnote w:id="8">
    <w:p w:rsidR="000F7985" w:rsidRPr="000F7985" w:rsidRDefault="000F7985">
      <w:pPr>
        <w:pStyle w:val="Textpoznpodarou"/>
        <w:rPr>
          <w:rFonts w:ascii="Arial" w:hAnsi="Arial" w:cs="Arial"/>
          <w:sz w:val="18"/>
        </w:rPr>
      </w:pPr>
      <w:r>
        <w:rPr>
          <w:rStyle w:val="Znakapoznpodarou"/>
        </w:rPr>
        <w:footnoteRef/>
      </w:r>
      <w:r>
        <w:t xml:space="preserve"> </w:t>
      </w:r>
      <w:r w:rsidRPr="000F7985">
        <w:rPr>
          <w:rFonts w:ascii="Arial" w:hAnsi="Arial" w:cs="Arial"/>
          <w:sz w:val="18"/>
        </w:rPr>
        <w:t>§ 11c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4760"/>
    <w:multiLevelType w:val="hybridMultilevel"/>
    <w:tmpl w:val="174E65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2F01FBC">
      <w:start w:val="1"/>
      <w:numFmt w:val="lowerLetter"/>
      <w:lvlText w:val="%2)"/>
      <w:lvlJc w:val="left"/>
      <w:pPr>
        <w:ind w:left="1440" w:hanging="360"/>
      </w:pPr>
      <w:rPr>
        <w:rFonts w:ascii="Arial" w:eastAsia="Arial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4031F"/>
    <w:multiLevelType w:val="hybridMultilevel"/>
    <w:tmpl w:val="4E2C767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211CE"/>
    <w:multiLevelType w:val="hybridMultilevel"/>
    <w:tmpl w:val="5C6AA82A"/>
    <w:lvl w:ilvl="0" w:tplc="F15C1D2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8631C"/>
    <w:multiLevelType w:val="hybridMultilevel"/>
    <w:tmpl w:val="D5887064"/>
    <w:lvl w:ilvl="0" w:tplc="D1B472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4EB0FDD"/>
    <w:multiLevelType w:val="hybridMultilevel"/>
    <w:tmpl w:val="6CF08BA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D620B"/>
    <w:multiLevelType w:val="hybridMultilevel"/>
    <w:tmpl w:val="6214F044"/>
    <w:lvl w:ilvl="0" w:tplc="920664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CE2941"/>
    <w:multiLevelType w:val="hybridMultilevel"/>
    <w:tmpl w:val="ED5EBAA8"/>
    <w:lvl w:ilvl="0" w:tplc="6FB61446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5A52B18"/>
    <w:multiLevelType w:val="hybridMultilevel"/>
    <w:tmpl w:val="D61ECE8A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4357C9"/>
    <w:multiLevelType w:val="hybridMultilevel"/>
    <w:tmpl w:val="EE4679CA"/>
    <w:lvl w:ilvl="0" w:tplc="04050011">
      <w:start w:val="1"/>
      <w:numFmt w:val="decimal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A056A17"/>
    <w:multiLevelType w:val="hybridMultilevel"/>
    <w:tmpl w:val="6214F044"/>
    <w:lvl w:ilvl="0" w:tplc="920664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F81495"/>
    <w:multiLevelType w:val="hybridMultilevel"/>
    <w:tmpl w:val="356CC8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B0133E"/>
    <w:multiLevelType w:val="hybridMultilevel"/>
    <w:tmpl w:val="D3863C4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9B6B95"/>
    <w:multiLevelType w:val="multilevel"/>
    <w:tmpl w:val="DD9432B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3" w15:restartNumberingAfterBreak="0">
    <w:nsid w:val="5D5A10CA"/>
    <w:multiLevelType w:val="hybridMultilevel"/>
    <w:tmpl w:val="71C0363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F8047F"/>
    <w:multiLevelType w:val="hybridMultilevel"/>
    <w:tmpl w:val="5AD8833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DA64A1"/>
    <w:multiLevelType w:val="hybridMultilevel"/>
    <w:tmpl w:val="EE04B3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912EA9"/>
    <w:multiLevelType w:val="hybridMultilevel"/>
    <w:tmpl w:val="8E280CD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12"/>
    <w:lvlOverride w:ilvl="0">
      <w:startOverride w:val="1"/>
    </w:lvlOverride>
  </w:num>
  <w:num w:numId="3">
    <w:abstractNumId w:val="12"/>
    <w:lvlOverride w:ilvl="0">
      <w:startOverride w:val="1"/>
    </w:lvlOverride>
  </w:num>
  <w:num w:numId="4">
    <w:abstractNumId w:val="12"/>
    <w:lvlOverride w:ilvl="0">
      <w:startOverride w:val="1"/>
    </w:lvlOverride>
  </w:num>
  <w:num w:numId="5">
    <w:abstractNumId w:val="12"/>
    <w:lvlOverride w:ilvl="0">
      <w:startOverride w:val="1"/>
    </w:lvlOverride>
  </w:num>
  <w:num w:numId="6">
    <w:abstractNumId w:val="15"/>
  </w:num>
  <w:num w:numId="7">
    <w:abstractNumId w:val="3"/>
  </w:num>
  <w:num w:numId="8">
    <w:abstractNumId w:val="0"/>
  </w:num>
  <w:num w:numId="9">
    <w:abstractNumId w:val="1"/>
  </w:num>
  <w:num w:numId="10">
    <w:abstractNumId w:val="6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5"/>
  </w:num>
  <w:num w:numId="17">
    <w:abstractNumId w:val="7"/>
  </w:num>
  <w:num w:numId="18">
    <w:abstractNumId w:val="2"/>
  </w:num>
  <w:num w:numId="19">
    <w:abstractNumId w:val="14"/>
  </w:num>
  <w:num w:numId="20">
    <w:abstractNumId w:val="13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0D"/>
    <w:rsid w:val="000F7985"/>
    <w:rsid w:val="001D5B60"/>
    <w:rsid w:val="00255EBF"/>
    <w:rsid w:val="00261C08"/>
    <w:rsid w:val="00300392"/>
    <w:rsid w:val="0030599C"/>
    <w:rsid w:val="00327C05"/>
    <w:rsid w:val="003440CF"/>
    <w:rsid w:val="0035160C"/>
    <w:rsid w:val="00361A1C"/>
    <w:rsid w:val="00386F92"/>
    <w:rsid w:val="003C2745"/>
    <w:rsid w:val="00413880"/>
    <w:rsid w:val="00477AD3"/>
    <w:rsid w:val="00483F27"/>
    <w:rsid w:val="004C5106"/>
    <w:rsid w:val="004D292E"/>
    <w:rsid w:val="00523527"/>
    <w:rsid w:val="005A749A"/>
    <w:rsid w:val="005B7865"/>
    <w:rsid w:val="006A6081"/>
    <w:rsid w:val="006C7865"/>
    <w:rsid w:val="007032DD"/>
    <w:rsid w:val="0074125A"/>
    <w:rsid w:val="0074728F"/>
    <w:rsid w:val="007A393D"/>
    <w:rsid w:val="00962B0D"/>
    <w:rsid w:val="00972F68"/>
    <w:rsid w:val="009A07B8"/>
    <w:rsid w:val="009D56FE"/>
    <w:rsid w:val="009E2AF9"/>
    <w:rsid w:val="00A12373"/>
    <w:rsid w:val="00A32AA3"/>
    <w:rsid w:val="00B1657B"/>
    <w:rsid w:val="00B52089"/>
    <w:rsid w:val="00B8781B"/>
    <w:rsid w:val="00BA5210"/>
    <w:rsid w:val="00BB4B14"/>
    <w:rsid w:val="00BB5BE2"/>
    <w:rsid w:val="00BB5F5B"/>
    <w:rsid w:val="00BB7414"/>
    <w:rsid w:val="00BC4278"/>
    <w:rsid w:val="00C53BDA"/>
    <w:rsid w:val="00C71DA2"/>
    <w:rsid w:val="00CA352B"/>
    <w:rsid w:val="00CC1990"/>
    <w:rsid w:val="00CD1CCD"/>
    <w:rsid w:val="00CF773D"/>
    <w:rsid w:val="00D0695A"/>
    <w:rsid w:val="00D723F9"/>
    <w:rsid w:val="00D96EE4"/>
    <w:rsid w:val="00E62A90"/>
    <w:rsid w:val="00EB2EBD"/>
    <w:rsid w:val="00ED7E79"/>
    <w:rsid w:val="00EF1802"/>
    <w:rsid w:val="00EF3B58"/>
    <w:rsid w:val="00F5475B"/>
    <w:rsid w:val="00F70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097D"/>
  <w15:docId w15:val="{50E8466F-37B8-48BD-865E-8BE9DFAF0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character" w:customStyle="1" w:styleId="s30">
    <w:name w:val="s30"/>
    <w:basedOn w:val="Standardnpsmoodstavce"/>
    <w:rsid w:val="00972F68"/>
  </w:style>
  <w:style w:type="paragraph" w:styleId="Odstavecseseznamem">
    <w:name w:val="List Paragraph"/>
    <w:basedOn w:val="Normln"/>
    <w:uiPriority w:val="34"/>
    <w:qFormat/>
    <w:rsid w:val="00972F68"/>
    <w:pPr>
      <w:ind w:left="720"/>
      <w:contextualSpacing/>
    </w:pPr>
    <w:rPr>
      <w:rFonts w:cs="Mangal"/>
      <w:szCs w:val="2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413880"/>
    <w:rPr>
      <w:rFonts w:cs="Mangal"/>
      <w:sz w:val="20"/>
      <w:szCs w:val="1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413880"/>
    <w:rPr>
      <w:rFonts w:cs="Mangal"/>
      <w:sz w:val="20"/>
      <w:szCs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413880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13880"/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13880"/>
    <w:rPr>
      <w:rFonts w:cs="Mangal"/>
      <w:sz w:val="20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749A"/>
    <w:rPr>
      <w:rFonts w:ascii="Segoe UI" w:hAnsi="Segoe UI" w:cs="Mangal"/>
      <w:sz w:val="18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749A"/>
    <w:rPr>
      <w:rFonts w:ascii="Segoe UI" w:hAnsi="Segoe UI" w:cs="Mangal"/>
      <w:sz w:val="18"/>
      <w:szCs w:val="16"/>
    </w:rPr>
  </w:style>
  <w:style w:type="paragraph" w:styleId="Zhlav">
    <w:name w:val="header"/>
    <w:basedOn w:val="Normln"/>
    <w:link w:val="ZhlavChar"/>
    <w:uiPriority w:val="99"/>
    <w:unhideWhenUsed/>
    <w:rsid w:val="0030599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link w:val="Zhlav"/>
    <w:uiPriority w:val="99"/>
    <w:rsid w:val="0030599C"/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30599C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30599C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7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A99E8C-E4DF-47EC-B0E0-DF3C1EEE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1058</TotalTime>
  <Pages>5</Pages>
  <Words>1151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Magdaléna Salačová</dc:creator>
  <cp:lastModifiedBy>Magdaléna Salačová</cp:lastModifiedBy>
  <cp:revision>26</cp:revision>
  <cp:lastPrinted>2023-11-22T08:00:00Z</cp:lastPrinted>
  <dcterms:created xsi:type="dcterms:W3CDTF">2023-09-20T08:43:00Z</dcterms:created>
  <dcterms:modified xsi:type="dcterms:W3CDTF">2023-11-27T10:41:00Z</dcterms:modified>
</cp:coreProperties>
</file>