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4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2412"/>
        <w:gridCol w:w="806"/>
        <w:gridCol w:w="4335"/>
        <w:gridCol w:w="1379"/>
        <w:gridCol w:w="1172"/>
      </w:tblGrid>
      <w:tr w:rsidR="003256AC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000000"/>
              <w:left w:val="threeDEmboss" w:sz="6" w:space="0" w:color="000000"/>
              <w:right w:val="single" w:sz="12" w:space="0" w:color="000000"/>
            </w:tcBorders>
          </w:tcPr>
          <w:p w:rsidR="003256AC" w:rsidRDefault="003256AC">
            <w:pPr>
              <w:snapToGrid w:val="0"/>
              <w:jc w:val="center"/>
            </w:pPr>
            <w:bookmarkStart w:id="0" w:name="_GoBack"/>
            <w:bookmarkEnd w:id="0"/>
          </w:p>
          <w:p w:rsidR="003256AC" w:rsidRDefault="003256AC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6"/>
            </w:tblGrid>
            <w:tr w:rsidR="003256AC">
              <w:trPr>
                <w:trHeight w:val="539"/>
              </w:trPr>
              <w:tc>
                <w:tcPr>
                  <w:tcW w:w="2196" w:type="dxa"/>
                  <w:tcBorders>
                    <w:top w:val="single" w:sz="18" w:space="0" w:color="0000FF"/>
                    <w:bottom w:val="single" w:sz="18" w:space="0" w:color="0000FF"/>
                  </w:tcBorders>
                </w:tcPr>
                <w:p w:rsidR="003256AC" w:rsidRDefault="009B68B8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3256AC" w:rsidRDefault="009B68B8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3256AC" w:rsidRDefault="003256AC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000000"/>
              <w:left w:val="single" w:sz="12" w:space="0" w:color="000000"/>
              <w:bottom w:val="threeDEngrave" w:sz="6" w:space="0" w:color="000000"/>
              <w:right w:val="single" w:sz="12" w:space="0" w:color="000000"/>
            </w:tcBorders>
          </w:tcPr>
          <w:p w:rsidR="003256AC" w:rsidRDefault="003256AC">
            <w:pPr>
              <w:snapToGrid w:val="0"/>
              <w:rPr>
                <w:b/>
                <w:color w:val="0000FF"/>
                <w:spacing w:val="11"/>
                <w:w w:val="98"/>
                <w:sz w:val="20"/>
                <w:szCs w:val="20"/>
              </w:rPr>
            </w:pPr>
          </w:p>
          <w:p w:rsidR="003256AC" w:rsidRDefault="009B68B8">
            <w:pPr>
              <w:jc w:val="center"/>
              <w:rPr>
                <w:b/>
                <w:color w:val="0000FF"/>
                <w:sz w:val="30"/>
                <w:szCs w:val="30"/>
              </w:rPr>
            </w:pPr>
            <w:r>
              <w:fldChar w:fldCharType="begin">
                <w:ffData>
                  <w:name w:val="__Fieldmark__0_38644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>
              <w:rPr>
                <w:b/>
                <w:color w:val="0000FF"/>
                <w:spacing w:val="74"/>
                <w:sz w:val="30"/>
                <w:szCs w:val="30"/>
              </w:rPr>
              <w:instrText>FORMDROPDOWN</w:instrText>
            </w:r>
            <w:r>
              <w:rPr>
                <w:b/>
                <w:color w:val="0000FF"/>
                <w:spacing w:val="74"/>
                <w:sz w:val="30"/>
                <w:szCs w:val="30"/>
              </w:rPr>
            </w:r>
            <w:r>
              <w:rPr>
                <w:b/>
                <w:color w:val="0000FF"/>
                <w:spacing w:val="74"/>
                <w:sz w:val="30"/>
                <w:szCs w:val="30"/>
              </w:rPr>
              <w:fldChar w:fldCharType="separate"/>
            </w:r>
            <w:bookmarkStart w:id="1" w:name="__Fieldmark__0_3864471925"/>
            <w:bookmarkEnd w:id="1"/>
            <w:r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</w:p>
          <w:p w:rsidR="003256AC" w:rsidRDefault="003256AC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threeDEmboss" w:sz="6" w:space="0" w:color="000000"/>
              <w:left w:val="single" w:sz="12" w:space="0" w:color="000000"/>
              <w:right w:val="threeDEngrave" w:sz="6" w:space="0" w:color="000000"/>
            </w:tcBorders>
          </w:tcPr>
          <w:p w:rsidR="003256AC" w:rsidRDefault="003256AC">
            <w:pPr>
              <w:snapToGrid w:val="0"/>
              <w:rPr>
                <w:sz w:val="20"/>
                <w:szCs w:val="20"/>
              </w:rPr>
            </w:pPr>
          </w:p>
          <w:p w:rsidR="003256AC" w:rsidRDefault="009B6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číslo:</w:t>
            </w:r>
          </w:p>
          <w:p w:rsidR="003256AC" w:rsidRDefault="003256AC">
            <w:pPr>
              <w:tabs>
                <w:tab w:val="left" w:pos="1440"/>
                <w:tab w:val="left" w:pos="5580"/>
              </w:tabs>
              <w:jc w:val="center"/>
              <w:rPr>
                <w:b/>
                <w:sz w:val="20"/>
                <w:szCs w:val="20"/>
              </w:rPr>
            </w:pPr>
          </w:p>
          <w:p w:rsidR="003256AC" w:rsidRDefault="009B68B8">
            <w:pPr>
              <w:tabs>
                <w:tab w:val="left" w:pos="1440"/>
                <w:tab w:val="left" w:pos="5580"/>
              </w:tabs>
              <w:jc w:val="center"/>
            </w:pPr>
            <w:r>
              <w:rPr>
                <w:b/>
              </w:rPr>
              <w:t>8/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/>
                <w:lang w:val="en-US" w:eastAsia="en-US"/>
              </w:rPr>
              <w:instrText>FORMTEXT</w:instrText>
            </w:r>
            <w:r>
              <w:rPr>
                <w:b/>
                <w:lang w:val="en-US" w:eastAsia="en-US"/>
              </w:rPr>
            </w:r>
            <w:r>
              <w:rPr>
                <w:b/>
                <w:lang w:val="en-US" w:eastAsia="en-US"/>
              </w:rPr>
              <w:fldChar w:fldCharType="separate"/>
            </w:r>
            <w:r>
              <w:rPr>
                <w:b/>
                <w:lang w:val="en-US" w:eastAsia="en-US"/>
              </w:rPr>
              <w:t>2019</w:t>
            </w:r>
            <w:r>
              <w:rPr>
                <w:b/>
                <w:lang w:val="en-US" w:eastAsia="en-US"/>
              </w:rPr>
              <w:fldChar w:fldCharType="end"/>
            </w:r>
            <w:r>
              <w:rPr>
                <w:b/>
              </w:rPr>
              <w:t>   </w:t>
            </w:r>
          </w:p>
          <w:p w:rsidR="003256AC" w:rsidRDefault="003256AC">
            <w:pPr>
              <w:rPr>
                <w:b/>
                <w:sz w:val="20"/>
                <w:szCs w:val="20"/>
              </w:rPr>
            </w:pPr>
          </w:p>
        </w:tc>
      </w:tr>
      <w:tr w:rsidR="003256AC">
        <w:trPr>
          <w:trHeight w:val="519"/>
        </w:trPr>
        <w:tc>
          <w:tcPr>
            <w:tcW w:w="2412" w:type="dxa"/>
            <w:vMerge/>
            <w:tcBorders>
              <w:top w:val="threeDEmboss" w:sz="6" w:space="0" w:color="000000"/>
              <w:left w:val="threeDEmboss" w:sz="6" w:space="0" w:color="000000"/>
              <w:right w:val="single" w:sz="12" w:space="0" w:color="000000"/>
            </w:tcBorders>
          </w:tcPr>
          <w:p w:rsidR="003256AC" w:rsidRDefault="003256A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threeDEmboss" w:sz="6" w:space="0" w:color="000000"/>
              <w:left w:val="single" w:sz="12" w:space="0" w:color="000000"/>
              <w:bottom w:val="threeDEngrave" w:sz="6" w:space="0" w:color="000000"/>
              <w:right w:val="single" w:sz="12" w:space="0" w:color="000000"/>
            </w:tcBorders>
          </w:tcPr>
          <w:p w:rsidR="003256AC" w:rsidRDefault="003256A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single" w:sz="12" w:space="0" w:color="000000"/>
              <w:bottom w:val="threeDEngrave" w:sz="6" w:space="0" w:color="000000"/>
              <w:right w:val="threeDEngrave" w:sz="6" w:space="0" w:color="000000"/>
            </w:tcBorders>
          </w:tcPr>
          <w:p w:rsidR="003256AC" w:rsidRDefault="009B6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Účinnost od:6.1.2020</w:t>
            </w:r>
          </w:p>
          <w:p w:rsidR="003256AC" w:rsidRDefault="003256AC">
            <w:pPr>
              <w:rPr>
                <w:sz w:val="10"/>
                <w:szCs w:val="10"/>
              </w:rPr>
            </w:pPr>
          </w:p>
          <w:p w:rsidR="003256AC" w:rsidRDefault="009B68B8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 w:eastAsia="en-US"/>
              </w:rPr>
              <w:instrText>FORMTEXT</w:instrText>
            </w:r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sz w:val="20"/>
                <w:szCs w:val="20"/>
                <w:lang w:val="en-US" w:eastAsia="en-US"/>
              </w:rPr>
              <w:t>     </w:t>
            </w:r>
            <w:r>
              <w:rPr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3256AC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6AC" w:rsidRDefault="009B68B8">
            <w:pPr>
              <w:jc w:val="center"/>
              <w:rPr>
                <w:b/>
              </w:rPr>
            </w:pPr>
            <w:r>
              <w:rPr>
                <w:b/>
              </w:rPr>
              <w:t>Vypracoval</w:t>
            </w:r>
          </w:p>
        </w:tc>
        <w:tc>
          <w:tcPr>
            <w:tcW w:w="4335" w:type="dxa"/>
            <w:tcBorders>
              <w:top w:val="threeDEngrav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6AC" w:rsidRDefault="009B68B8">
            <w:pPr>
              <w:jc w:val="center"/>
              <w:rPr>
                <w:b/>
              </w:rPr>
            </w:pPr>
            <w:r>
              <w:rPr>
                <w:b/>
              </w:rPr>
              <w:t>Zkontroloval</w:t>
            </w:r>
          </w:p>
        </w:tc>
        <w:tc>
          <w:tcPr>
            <w:tcW w:w="2551" w:type="dxa"/>
            <w:gridSpan w:val="2"/>
            <w:tcBorders>
              <w:top w:val="threeDEngrav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256AC" w:rsidRDefault="009B68B8">
            <w:pPr>
              <w:jc w:val="center"/>
              <w:rPr>
                <w:b/>
              </w:rPr>
            </w:pPr>
            <w:r>
              <w:rPr>
                <w:b/>
              </w:rPr>
              <w:t>Schválil</w:t>
            </w:r>
          </w:p>
        </w:tc>
      </w:tr>
      <w:tr w:rsidR="003256AC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6AC" w:rsidRDefault="009B68B8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US" w:eastAsia="en-US"/>
              </w:rPr>
              <w:instrText>FORMTEXT</w:instrText>
            </w:r>
            <w:r>
              <w:rPr>
                <w:b/>
                <w:lang w:val="en-US" w:eastAsia="en-US"/>
              </w:rPr>
            </w:r>
            <w:r>
              <w:rPr>
                <w:b/>
                <w:lang w:val="en-US" w:eastAsia="en-US"/>
              </w:rPr>
              <w:fldChar w:fldCharType="separate"/>
            </w:r>
            <w:r>
              <w:rPr>
                <w:b/>
                <w:lang w:val="en-US" w:eastAsia="en-US"/>
              </w:rPr>
              <w:t>Mgr. Bc. Eliška Šebestová</w:t>
            </w:r>
            <w:r>
              <w:rPr>
                <w:b/>
                <w:lang w:val="en-US" w:eastAsia="en-US"/>
              </w:rPr>
              <w:fldChar w:fldCharType="end"/>
            </w:r>
          </w:p>
          <w:p w:rsidR="003256AC" w:rsidRDefault="009B68B8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US" w:eastAsia="en-US"/>
              </w:rPr>
              <w:instrText>FORMTEXT</w:instrText>
            </w:r>
            <w:r>
              <w:rPr>
                <w:b/>
                <w:lang w:val="en-US" w:eastAsia="en-US"/>
              </w:rPr>
            </w:r>
            <w:r>
              <w:rPr>
                <w:b/>
                <w:lang w:val="en-US" w:eastAsia="en-US"/>
              </w:rPr>
              <w:fldChar w:fldCharType="separate"/>
            </w:r>
            <w:r>
              <w:rPr>
                <w:b/>
                <w:lang w:val="en-US" w:eastAsia="en-US"/>
              </w:rPr>
              <w:t>odbor právní</w:t>
            </w:r>
            <w:r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4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6AC" w:rsidRDefault="009B68B8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US" w:eastAsia="en-US"/>
              </w:rPr>
              <w:instrText>FORMTEXT</w:instrText>
            </w:r>
            <w:r>
              <w:rPr>
                <w:b/>
                <w:lang w:val="en-US" w:eastAsia="en-US"/>
              </w:rPr>
            </w:r>
            <w:r>
              <w:rPr>
                <w:b/>
                <w:lang w:val="en-US" w:eastAsia="en-US"/>
              </w:rPr>
              <w:fldChar w:fldCharType="separate"/>
            </w:r>
            <w:r>
              <w:rPr>
                <w:b/>
                <w:lang w:val="en-US" w:eastAsia="en-US"/>
              </w:rPr>
              <w:t>Mgr. Petr Spazier</w:t>
            </w:r>
            <w:r>
              <w:rPr>
                <w:b/>
                <w:lang w:val="en-US" w:eastAsia="en-US"/>
              </w:rPr>
              <w:fldChar w:fldCharType="end"/>
            </w:r>
          </w:p>
          <w:p w:rsidR="003256AC" w:rsidRDefault="009B68B8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US" w:eastAsia="en-US"/>
              </w:rPr>
              <w:instrText>FORMTEXT</w:instrText>
            </w:r>
            <w:r>
              <w:rPr>
                <w:b/>
                <w:lang w:val="en-US" w:eastAsia="en-US"/>
              </w:rPr>
            </w:r>
            <w:r>
              <w:rPr>
                <w:b/>
                <w:lang w:val="en-US" w:eastAsia="en-US"/>
              </w:rPr>
              <w:fldChar w:fldCharType="separate"/>
            </w:r>
            <w:r>
              <w:rPr>
                <w:b/>
                <w:lang w:val="en-US" w:eastAsia="en-US"/>
              </w:rPr>
              <w:t>odbor právní</w:t>
            </w:r>
            <w:r>
              <w:rPr>
                <w:b/>
                <w:lang w:val="en-US" w:eastAsia="en-US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256AC" w:rsidRDefault="009B68B8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US" w:eastAsia="en-US"/>
              </w:rPr>
              <w:instrText>FORMTEXT</w:instrText>
            </w:r>
            <w:r>
              <w:rPr>
                <w:b/>
                <w:lang w:val="en-US" w:eastAsia="en-US"/>
              </w:rPr>
            </w:r>
            <w:r>
              <w:rPr>
                <w:b/>
                <w:lang w:val="en-US" w:eastAsia="en-US"/>
              </w:rPr>
              <w:fldChar w:fldCharType="separate"/>
            </w:r>
            <w:r>
              <w:rPr>
                <w:b/>
                <w:lang w:val="en-US" w:eastAsia="en-US"/>
              </w:rPr>
              <w:t>zastupitelstvo města</w:t>
            </w:r>
            <w:r>
              <w:rPr>
                <w:b/>
                <w:lang w:val="en-US" w:eastAsia="en-US"/>
              </w:rPr>
              <w:fldChar w:fldCharType="end"/>
            </w:r>
          </w:p>
          <w:p w:rsidR="003256AC" w:rsidRDefault="009B68B8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usnesením č. 359</w:t>
            </w:r>
          </w:p>
        </w:tc>
      </w:tr>
      <w:tr w:rsidR="003256AC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</w:tcMar>
          </w:tcPr>
          <w:p w:rsidR="003256AC" w:rsidRDefault="009B6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a podpis: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 w:eastAsia="en-US"/>
              </w:rPr>
              <w:instrText>FORMTEXT</w:instrText>
            </w:r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sz w:val="20"/>
                <w:szCs w:val="20"/>
                <w:lang w:val="en-US" w:eastAsia="en-US"/>
              </w:rPr>
              <w:t>     </w:t>
            </w:r>
            <w:r>
              <w:rPr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43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</w:tcMar>
          </w:tcPr>
          <w:p w:rsidR="003256AC" w:rsidRDefault="009B6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a podpis: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 w:eastAsia="en-US"/>
              </w:rPr>
              <w:instrText>FORMTEXT</w:instrText>
            </w:r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sz w:val="20"/>
                <w:szCs w:val="20"/>
                <w:lang w:val="en-US" w:eastAsia="en-US"/>
              </w:rPr>
              <w:t>     </w:t>
            </w:r>
            <w:r>
              <w:rPr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</w:tcMar>
          </w:tcPr>
          <w:p w:rsidR="003256AC" w:rsidRDefault="009B6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a podpis: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 w:eastAsia="en-US"/>
              </w:rPr>
              <w:instrText>FORMTEXT</w:instrText>
            </w:r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sz w:val="20"/>
                <w:szCs w:val="20"/>
                <w:lang w:val="en-US" w:eastAsia="en-US"/>
              </w:rPr>
              <w:t>     </w:t>
            </w:r>
            <w:r>
              <w:rPr>
                <w:sz w:val="20"/>
                <w:szCs w:val="20"/>
                <w:lang w:val="en-US" w:eastAsia="en-US"/>
              </w:rPr>
              <w:fldChar w:fldCharType="end"/>
            </w:r>
          </w:p>
        </w:tc>
      </w:tr>
    </w:tbl>
    <w:p w:rsidR="003256AC" w:rsidRDefault="009B68B8">
      <w:pPr>
        <w:rPr>
          <w:sz w:val="20"/>
          <w:szCs w:val="20"/>
          <w:lang w:val="en-US" w:eastAsia="en-US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1270" distB="1270" distL="116205" distR="116205" simplePos="0" relativeHeight="2" behindDoc="1" locked="0" layoutInCell="0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3535" cy="635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1pt,280.65pt" to="16.85pt,280.65pt" stroked="t" o:allowincell="f" style="position:absolute;mso-position-horizontal-relative:pag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1270" distB="1270" distL="116205" distR="116205" simplePos="0" relativeHeight="3" behindDoc="1" locked="0" layoutInCell="0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3535" cy="635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2pt,421pt" to="16.75pt,421pt" stroked="t" o:allowincell="f" style="position:absolute;mso-position-horizontal-relative:pag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1270" distB="1270" distL="116205" distR="116205" simplePos="0" relativeHeight="4" behindDoc="1" locked="0" layoutInCell="0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3535" cy="635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2pt,561.35pt" to="16.75pt,561.35pt" stroked="t" o:allowincell="f" style="position:absolute;mso-position-horizontal-relative:pag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3256AC" w:rsidRDefault="003256AC">
      <w:pPr>
        <w:rPr>
          <w:sz w:val="12"/>
          <w:szCs w:val="12"/>
        </w:rPr>
      </w:pPr>
    </w:p>
    <w:p w:rsidR="003256AC" w:rsidRDefault="009B68B8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256AC" w:rsidRDefault="009B68B8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b/>
          <w:sz w:val="32"/>
          <w:szCs w:val="32"/>
          <w:lang w:val="en-US" w:eastAsia="en-US"/>
        </w:rPr>
        <w:instrText>FORMTEXT</w:instrText>
      </w:r>
      <w:r>
        <w:rPr>
          <w:b/>
          <w:sz w:val="32"/>
          <w:szCs w:val="32"/>
          <w:lang w:val="en-US" w:eastAsia="en-US"/>
        </w:rPr>
      </w:r>
      <w:r>
        <w:rPr>
          <w:b/>
          <w:sz w:val="32"/>
          <w:szCs w:val="32"/>
          <w:lang w:val="en-US" w:eastAsia="en-US"/>
        </w:rPr>
        <w:fldChar w:fldCharType="separate"/>
      </w:r>
      <w:r>
        <w:rPr>
          <w:b/>
          <w:sz w:val="32"/>
          <w:szCs w:val="32"/>
          <w:lang w:val="en-US" w:eastAsia="en-US"/>
        </w:rPr>
        <w:t>o zákazu požívání alkoholických nápojů a jiných návykových látek na veřejném prostranství</w:t>
      </w:r>
      <w:r>
        <w:rPr>
          <w:b/>
          <w:sz w:val="32"/>
          <w:szCs w:val="32"/>
          <w:lang w:val="en-US" w:eastAsia="en-US"/>
        </w:rPr>
        <w:fldChar w:fldCharType="end"/>
      </w:r>
    </w:p>
    <w:p w:rsidR="003256AC" w:rsidRDefault="003256AC">
      <w:pPr>
        <w:sectPr w:rsidR="003256AC">
          <w:pgSz w:w="11906" w:h="16838"/>
          <w:pgMar w:top="1418" w:right="1134" w:bottom="1418" w:left="1134" w:header="0" w:footer="0" w:gutter="0"/>
          <w:cols w:space="708"/>
          <w:formProt w:val="0"/>
          <w:docGrid w:linePitch="360"/>
        </w:sectPr>
      </w:pPr>
    </w:p>
    <w:p w:rsidR="003256AC" w:rsidRDefault="003256AC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:rsidR="003256AC" w:rsidRDefault="003256AC">
      <w:pPr>
        <w:tabs>
          <w:tab w:val="left" w:pos="1440"/>
          <w:tab w:val="left" w:pos="5580"/>
        </w:tabs>
        <w:rPr>
          <w:b/>
          <w:sz w:val="28"/>
          <w:szCs w:val="28"/>
        </w:rPr>
      </w:pPr>
    </w:p>
    <w:p w:rsidR="003256AC" w:rsidRDefault="003256AC">
      <w:pPr>
        <w:tabs>
          <w:tab w:val="left" w:pos="1440"/>
          <w:tab w:val="left" w:pos="5580"/>
        </w:tabs>
      </w:pPr>
    </w:p>
    <w:p w:rsidR="003256AC" w:rsidRDefault="009B68B8">
      <w:pPr>
        <w:tabs>
          <w:tab w:val="left" w:pos="1440"/>
          <w:tab w:val="left" w:pos="5580"/>
        </w:tabs>
        <w:rPr>
          <w:b/>
          <w:u w:val="single"/>
        </w:rPr>
      </w:pPr>
      <w:r>
        <w:rPr>
          <w:b/>
          <w:u w:val="single"/>
        </w:rPr>
        <w:t>Obsah:</w:t>
      </w:r>
    </w:p>
    <w:sdt>
      <w:sdtPr>
        <w:id w:val="190107669"/>
        <w:docPartObj>
          <w:docPartGallery w:val="Table of Contents"/>
          <w:docPartUnique/>
        </w:docPartObj>
      </w:sdtPr>
      <w:sdtEndPr/>
      <w:sdtContent>
        <w:p w:rsidR="003256AC" w:rsidRDefault="009B68B8">
          <w:pPr>
            <w:pStyle w:val="Obsah1"/>
            <w:tabs>
              <w:tab w:val="right" w:leader="dot" w:pos="9638"/>
            </w:tabs>
          </w:pPr>
          <w:r>
            <w:fldChar w:fldCharType="begin"/>
          </w:r>
          <w:r>
            <w:rPr>
              <w:rStyle w:val="IndexLink"/>
            </w:rPr>
            <w:instrText>TOC \o "1-3" \h \z \u</w:instrText>
          </w:r>
          <w:r>
            <w:rPr>
              <w:rStyle w:val="IndexLink"/>
            </w:rPr>
            <w:fldChar w:fldCharType="separate"/>
          </w:r>
          <w:hyperlink w:anchor="__RefHeading___Toc22189408">
            <w:r>
              <w:rPr>
                <w:rStyle w:val="IndexLink"/>
              </w:rPr>
              <w:t>Čl. 1 - Úvodní ustanovení</w:t>
            </w:r>
            <w:r>
              <w:rPr>
                <w:rStyle w:val="IndexLink"/>
              </w:rPr>
              <w:tab/>
              <w:t>3</w:t>
            </w:r>
          </w:hyperlink>
        </w:p>
        <w:p w:rsidR="003256AC" w:rsidRDefault="009B68B8">
          <w:pPr>
            <w:pStyle w:val="Obsah1"/>
            <w:tabs>
              <w:tab w:val="right" w:leader="dot" w:pos="9638"/>
            </w:tabs>
          </w:pPr>
          <w:hyperlink w:anchor="__RefHeading___Toc22189409">
            <w:r>
              <w:rPr>
                <w:rStyle w:val="IndexLink"/>
              </w:rPr>
              <w:t>Čl. 2 - Vymezení pojmů</w:t>
            </w:r>
            <w:r>
              <w:rPr>
                <w:rStyle w:val="IndexLink"/>
              </w:rPr>
              <w:tab/>
              <w:t>3</w:t>
            </w:r>
          </w:hyperlink>
        </w:p>
        <w:p w:rsidR="003256AC" w:rsidRDefault="009B68B8">
          <w:pPr>
            <w:pStyle w:val="Obsah1"/>
            <w:tabs>
              <w:tab w:val="right" w:leader="dot" w:pos="9638"/>
            </w:tabs>
          </w:pPr>
          <w:hyperlink w:anchor="__RefHeading___Toc22189410">
            <w:r>
              <w:rPr>
                <w:rStyle w:val="IndexLink"/>
              </w:rPr>
              <w:t>Čl. 3 - Zákaz požívání alkoholických nápojů a jiných návykových látek na veřejném prostranství</w:t>
            </w:r>
            <w:r>
              <w:rPr>
                <w:rStyle w:val="IndexLink"/>
              </w:rPr>
              <w:tab/>
              <w:t>3</w:t>
            </w:r>
          </w:hyperlink>
        </w:p>
        <w:p w:rsidR="003256AC" w:rsidRDefault="009B68B8">
          <w:pPr>
            <w:pStyle w:val="Obsah1"/>
            <w:tabs>
              <w:tab w:val="right" w:leader="dot" w:pos="9638"/>
            </w:tabs>
          </w:pPr>
          <w:hyperlink w:anchor="__RefHeading___Toc22189411">
            <w:r>
              <w:rPr>
                <w:rStyle w:val="IndexLink"/>
              </w:rPr>
              <w:t>Čl. 4 - Závěrečná ustanovení</w:t>
            </w:r>
            <w:r>
              <w:rPr>
                <w:rStyle w:val="IndexLink"/>
              </w:rPr>
              <w:tab/>
              <w:t>4</w:t>
            </w:r>
          </w:hyperlink>
        </w:p>
        <w:p w:rsidR="003256AC" w:rsidRDefault="009B68B8">
          <w:pPr>
            <w:pStyle w:val="Obsah1"/>
            <w:tabs>
              <w:tab w:val="right" w:leader="dot" w:pos="9638"/>
            </w:tabs>
          </w:pPr>
          <w:hyperlink w:anchor="__RefHeading___Toc22189412">
            <w:r>
              <w:rPr>
                <w:rStyle w:val="IndexLink"/>
              </w:rPr>
              <w:t>Čl. 5 - Zrušovací ustanovení</w:t>
            </w:r>
            <w:r>
              <w:rPr>
                <w:rStyle w:val="IndexLink"/>
              </w:rPr>
              <w:tab/>
              <w:t>4</w:t>
            </w:r>
          </w:hyperlink>
        </w:p>
        <w:p w:rsidR="003256AC" w:rsidRDefault="009B68B8">
          <w:pPr>
            <w:pStyle w:val="Obsah1"/>
            <w:tabs>
              <w:tab w:val="right" w:leader="dot" w:pos="9638"/>
            </w:tabs>
          </w:pPr>
          <w:hyperlink w:anchor="__RefHeading___Toc22189413">
            <w:r>
              <w:rPr>
                <w:rStyle w:val="IndexLink"/>
              </w:rPr>
              <w:t>Čl. 6 - Účinnost</w:t>
            </w:r>
            <w:r>
              <w:rPr>
                <w:rStyle w:val="IndexLink"/>
              </w:rPr>
              <w:tab/>
              <w:t>4</w:t>
            </w:r>
          </w:hyperlink>
          <w:r>
            <w:rPr>
              <w:rStyle w:val="IndexLink"/>
            </w:rPr>
            <w:fldChar w:fldCharType="end"/>
          </w:r>
        </w:p>
      </w:sdtContent>
    </w:sdt>
    <w:p w:rsidR="003256AC" w:rsidRDefault="003256AC">
      <w:pPr>
        <w:tabs>
          <w:tab w:val="left" w:pos="1440"/>
          <w:tab w:val="left" w:pos="5580"/>
        </w:tabs>
        <w:rPr>
          <w:rFonts w:ascii="Calibri" w:hAnsi="Calibri" w:cs="Calibri"/>
          <w:sz w:val="22"/>
          <w:szCs w:val="22"/>
          <w:lang w:val="en-US" w:eastAsia="en-US"/>
        </w:rPr>
      </w:pPr>
    </w:p>
    <w:p w:rsidR="003256AC" w:rsidRDefault="003256AC">
      <w:pPr>
        <w:tabs>
          <w:tab w:val="left" w:pos="1440"/>
          <w:tab w:val="left" w:pos="5580"/>
        </w:tabs>
      </w:pPr>
    </w:p>
    <w:p w:rsidR="003256AC" w:rsidRDefault="009B68B8">
      <w:pPr>
        <w:tabs>
          <w:tab w:val="left" w:pos="1440"/>
          <w:tab w:val="left" w:pos="5580"/>
        </w:tabs>
        <w:rPr>
          <w:b/>
          <w:u w:val="single"/>
        </w:rPr>
      </w:pPr>
      <w:r>
        <w:rPr>
          <w:b/>
          <w:u w:val="single"/>
        </w:rPr>
        <w:t>Přílohy:</w:t>
      </w:r>
    </w:p>
    <w:p w:rsidR="003256AC" w:rsidRDefault="009B68B8">
      <w:pPr>
        <w:tabs>
          <w:tab w:val="left" w:pos="1440"/>
          <w:tab w:val="left" w:pos="5580"/>
        </w:tabs>
      </w:pPr>
      <w:r>
        <w:t>Příloha č. 1</w:t>
      </w:r>
      <w:r>
        <w:t xml:space="preserve"> - Seznam zastřešených autobusových čekáren MHD Hodonín</w:t>
      </w:r>
    </w:p>
    <w:p w:rsidR="003256AC" w:rsidRDefault="009B68B8">
      <w:pPr>
        <w:tabs>
          <w:tab w:val="left" w:pos="1440"/>
          <w:tab w:val="left" w:pos="5580"/>
        </w:tabs>
      </w:pPr>
      <w:r>
        <w:t>Příloha č. 2 - Vyznačení ploch dotčených touto obecně závaznou vyhláškou</w:t>
      </w:r>
    </w:p>
    <w:p w:rsidR="003256AC" w:rsidRDefault="003256AC">
      <w:pPr>
        <w:tabs>
          <w:tab w:val="left" w:pos="1440"/>
          <w:tab w:val="left" w:pos="5580"/>
        </w:tabs>
        <w:jc w:val="center"/>
        <w:rPr>
          <w:b/>
        </w:rPr>
      </w:pPr>
    </w:p>
    <w:tbl>
      <w:tblPr>
        <w:tblW w:w="4550" w:type="pct"/>
        <w:jc w:val="center"/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8765"/>
      </w:tblGrid>
      <w:tr w:rsidR="003256AC">
        <w:trPr>
          <w:cantSplit/>
          <w:jc w:val="center"/>
        </w:trPr>
        <w:tc>
          <w:tcPr>
            <w:tcW w:w="8770" w:type="dxa"/>
            <w:tcBorders>
              <w:left w:val="dashed" w:sz="2" w:space="0" w:color="FFFFFF"/>
              <w:bottom w:val="single" w:sz="8" w:space="0" w:color="0000FF"/>
              <w:right w:val="dashed" w:sz="2" w:space="0" w:color="FFFFFF"/>
            </w:tcBorders>
            <w:vAlign w:val="center"/>
          </w:tcPr>
          <w:p w:rsidR="003256AC" w:rsidRDefault="003256AC">
            <w:pPr>
              <w:pStyle w:val="Zpat"/>
              <w:snapToGrid w:val="0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3256AC">
        <w:trPr>
          <w:cantSplit/>
          <w:jc w:val="center"/>
        </w:trPr>
        <w:tc>
          <w:tcPr>
            <w:tcW w:w="8770" w:type="dxa"/>
            <w:tcBorders>
              <w:top w:val="single" w:sz="8" w:space="0" w:color="0000FF"/>
              <w:left w:val="dashed" w:sz="2" w:space="0" w:color="FFFFFF"/>
              <w:bottom w:val="dashed" w:sz="2" w:space="0" w:color="FFFFFF"/>
              <w:right w:val="dashed" w:sz="2" w:space="0" w:color="FFFFFF"/>
            </w:tcBorders>
            <w:vAlign w:val="center"/>
          </w:tcPr>
          <w:p w:rsidR="003256AC" w:rsidRDefault="009B68B8">
            <w:pPr>
              <w:pStyle w:val="Zpat"/>
              <w:jc w:val="center"/>
            </w:pPr>
            <w:r>
              <w:rPr>
                <w:color w:val="0000FF"/>
                <w:sz w:val="15"/>
                <w:szCs w:val="15"/>
              </w:rPr>
              <w:t xml:space="preserve">Obsahuje 3 strany textu a 2 přílohy   </w:t>
            </w:r>
          </w:p>
          <w:p w:rsidR="003256AC" w:rsidRDefault="003256AC">
            <w:pPr>
              <w:jc w:val="center"/>
              <w:rPr>
                <w:color w:val="0000FF"/>
                <w:sz w:val="15"/>
                <w:szCs w:val="15"/>
              </w:rPr>
            </w:pPr>
          </w:p>
        </w:tc>
      </w:tr>
    </w:tbl>
    <w:p w:rsidR="003256AC" w:rsidRDefault="003256AC">
      <w:pPr>
        <w:sectPr w:rsidR="003256AC">
          <w:type w:val="continuous"/>
          <w:pgSz w:w="11906" w:h="16838"/>
          <w:pgMar w:top="1418" w:right="1134" w:bottom="1418" w:left="1134" w:header="0" w:footer="0" w:gutter="0"/>
          <w:cols w:space="708"/>
          <w:formProt w:val="0"/>
          <w:docGrid w:linePitch="360"/>
        </w:sectPr>
      </w:pPr>
    </w:p>
    <w:p w:rsidR="003256AC" w:rsidRDefault="003256AC">
      <w:pPr>
        <w:tabs>
          <w:tab w:val="left" w:pos="3570"/>
        </w:tabs>
        <w:rPr>
          <w:b/>
        </w:rPr>
      </w:pPr>
    </w:p>
    <w:p w:rsidR="003256AC" w:rsidRDefault="003256AC">
      <w:pPr>
        <w:tabs>
          <w:tab w:val="left" w:pos="3570"/>
        </w:tabs>
      </w:pPr>
    </w:p>
    <w:p w:rsidR="003256AC" w:rsidRDefault="003256AC"/>
    <w:p w:rsidR="003256AC" w:rsidRDefault="003256AC"/>
    <w:p w:rsidR="003256AC" w:rsidRDefault="003256AC"/>
    <w:p w:rsidR="003256AC" w:rsidRDefault="003256AC"/>
    <w:p w:rsidR="003256AC" w:rsidRDefault="003256AC"/>
    <w:p w:rsidR="003256AC" w:rsidRDefault="003256AC"/>
    <w:p w:rsidR="003256AC" w:rsidRDefault="003256AC"/>
    <w:p w:rsidR="003256AC" w:rsidRDefault="009B68B8">
      <w:pPr>
        <w:tabs>
          <w:tab w:val="left" w:pos="3570"/>
        </w:tabs>
      </w:pPr>
      <w:r>
        <w:t>Vyvěšeno:</w:t>
      </w:r>
    </w:p>
    <w:p w:rsidR="003256AC" w:rsidRDefault="009B68B8">
      <w:pPr>
        <w:tabs>
          <w:tab w:val="left" w:pos="3570"/>
        </w:tabs>
      </w:pPr>
      <w:r>
        <w:t>Sňato:</w:t>
      </w:r>
      <w:r>
        <w:br w:type="page"/>
      </w:r>
    </w:p>
    <w:p w:rsidR="003256AC" w:rsidRDefault="009B68B8">
      <w:pPr>
        <w:jc w:val="center"/>
        <w:rPr>
          <w:b/>
        </w:rPr>
      </w:pPr>
      <w:r>
        <w:rPr>
          <w:b/>
        </w:rPr>
        <w:lastRenderedPageBreak/>
        <w:t>OBECNĚ ZÁVAZNÁ VYHLÁŠKA</w:t>
      </w:r>
    </w:p>
    <w:p w:rsidR="003256AC" w:rsidRDefault="009B68B8">
      <w:pPr>
        <w:jc w:val="center"/>
      </w:pPr>
      <w:r>
        <w:rPr>
          <w:b/>
        </w:rPr>
        <w:t xml:space="preserve"> č. </w:t>
      </w:r>
      <w:r>
        <w:rPr>
          <w:b/>
        </w:rPr>
        <w:t>8/2019</w:t>
      </w:r>
    </w:p>
    <w:p w:rsidR="003256AC" w:rsidRDefault="003256AC">
      <w:pPr>
        <w:jc w:val="center"/>
        <w:rPr>
          <w:b/>
        </w:rPr>
      </w:pPr>
    </w:p>
    <w:p w:rsidR="003256AC" w:rsidRDefault="009B68B8">
      <w:pPr>
        <w:jc w:val="center"/>
        <w:rPr>
          <w:b/>
        </w:rPr>
      </w:pPr>
      <w:r>
        <w:rPr>
          <w:b/>
        </w:rPr>
        <w:t>o zákazu požívání alkoholických nápojů a jiných návykových látek na veřejném prostranství</w:t>
      </w:r>
    </w:p>
    <w:p w:rsidR="003256AC" w:rsidRDefault="003256AC">
      <w:pPr>
        <w:rPr>
          <w:b/>
        </w:rPr>
      </w:pPr>
    </w:p>
    <w:p w:rsidR="003256AC" w:rsidRDefault="009B68B8">
      <w:pPr>
        <w:pStyle w:val="Styl2"/>
      </w:pPr>
      <w:r>
        <w:t xml:space="preserve">Zastupitelstvo města Hodonín se na svém zasedání dne 10.12.2019 usnesením č. 359 usneslo vydat na základě ustanovení § 10 písm. a) a ustanovení § 84 odst. 2 </w:t>
      </w:r>
      <w:r>
        <w:t>písm. h) zákona č. 128/2000 Sb., o obcích (obecní zřízení), ve znění pozdějších předpisů, tuto obecně závaznou vyhlášku (dále také „vyhláška“):</w:t>
      </w:r>
    </w:p>
    <w:p w:rsidR="003256AC" w:rsidRDefault="003256AC">
      <w:pPr>
        <w:jc w:val="both"/>
      </w:pPr>
    </w:p>
    <w:p w:rsidR="003256AC" w:rsidRDefault="009B68B8">
      <w:pPr>
        <w:pStyle w:val="Nadpis1"/>
      </w:pPr>
      <w:bookmarkStart w:id="2" w:name="__RefHeading___Toc22189408"/>
      <w:bookmarkEnd w:id="2"/>
      <w:r>
        <w:t>Čl. 1 - Úvodní ustanovení</w:t>
      </w:r>
    </w:p>
    <w:p w:rsidR="003256AC" w:rsidRDefault="003256AC">
      <w:pPr>
        <w:jc w:val="center"/>
        <w:rPr>
          <w:b/>
        </w:rPr>
      </w:pPr>
    </w:p>
    <w:p w:rsidR="003256AC" w:rsidRDefault="009B68B8">
      <w:pPr>
        <w:pStyle w:val="Styl2"/>
      </w:pPr>
      <w:r>
        <w:t>Cílem této vyhlášky, v rámci zabezpečení místních záležitostí veřejného pořádku, je vymezení míst, na kterých se zakazuje požívání alkoholických nápojů a jiných návykových látek, z důvodu ochrany dětí a mládeže před negativním vlivem požívání alkoholu a ji</w:t>
      </w:r>
      <w:r>
        <w:t xml:space="preserve">ných návykových látek. </w:t>
      </w:r>
    </w:p>
    <w:p w:rsidR="003256AC" w:rsidRDefault="003256AC">
      <w:pPr>
        <w:jc w:val="both"/>
      </w:pPr>
    </w:p>
    <w:p w:rsidR="003256AC" w:rsidRDefault="009B68B8">
      <w:pPr>
        <w:pStyle w:val="Nadpis1"/>
        <w:spacing w:before="0"/>
      </w:pPr>
      <w:bookmarkStart w:id="3" w:name="__RefHeading___Toc22189409"/>
      <w:bookmarkEnd w:id="3"/>
      <w:r>
        <w:t>Čl. 2 - Vymezení pojmů</w:t>
      </w:r>
    </w:p>
    <w:p w:rsidR="003256AC" w:rsidRDefault="003256AC">
      <w:pPr>
        <w:jc w:val="center"/>
        <w:rPr>
          <w:b/>
        </w:rPr>
      </w:pPr>
    </w:p>
    <w:p w:rsidR="003256AC" w:rsidRDefault="009B68B8">
      <w:pPr>
        <w:pStyle w:val="Styl2"/>
      </w:pPr>
      <w:r>
        <w:t>Veřejným prostranstvím jsou všechna náměstí, ulice, tržiště, chodníky, veřejná zeleň, parky a další prostory přístupné každému bez omezení, tedy sloužící obecnému užívání, a to bez ohledu na vlastnictví k to</w:t>
      </w:r>
      <w:r>
        <w:t>muto prostoru.</w:t>
      </w:r>
      <w:r>
        <w:rPr>
          <w:rStyle w:val="FootnoteAnchor"/>
        </w:rPr>
        <w:footnoteReference w:id="1"/>
      </w:r>
    </w:p>
    <w:p w:rsidR="003256AC" w:rsidRDefault="003256AC"/>
    <w:p w:rsidR="003256AC" w:rsidRDefault="009B68B8">
      <w:pPr>
        <w:pStyle w:val="Nadpis1"/>
        <w:spacing w:before="0"/>
      </w:pPr>
      <w:bookmarkStart w:id="4" w:name="__RefHeading___Toc22189410"/>
      <w:bookmarkEnd w:id="4"/>
      <w:r>
        <w:t>Čl. 3 - Zákaz požívání alkoholických nápojů a jiných návykových látek na veřejném prostranství</w:t>
      </w:r>
    </w:p>
    <w:p w:rsidR="003256AC" w:rsidRDefault="003256AC">
      <w:pPr>
        <w:jc w:val="center"/>
        <w:rPr>
          <w:b/>
        </w:rPr>
      </w:pPr>
    </w:p>
    <w:p w:rsidR="003256AC" w:rsidRDefault="009B68B8">
      <w:pPr>
        <w:pStyle w:val="Styl1"/>
      </w:pPr>
      <w:r>
        <w:t>Zakazuje se požívání alkoholických nápojů a jiných návykových látek na vymezených plochách veřejného prostranství ve městě Hodonín.</w:t>
      </w:r>
    </w:p>
    <w:p w:rsidR="003256AC" w:rsidRDefault="009B68B8">
      <w:pPr>
        <w:pStyle w:val="Styl1"/>
      </w:pPr>
      <w:r>
        <w:t>Zákaz požív</w:t>
      </w:r>
      <w:r>
        <w:t>ání alkoholických nápojů a jiných návykových látek se vztahuje na veškeré autobusové zastávky s přístřeškem v k. ú. Hodonín (příloha č. 1) a dále na plochy uvedené v příloze č. 2. Přílohy jsou nedílnou součástí této vyhlášky.</w:t>
      </w:r>
    </w:p>
    <w:p w:rsidR="003256AC" w:rsidRDefault="009B68B8">
      <w:pPr>
        <w:pStyle w:val="Styl1"/>
      </w:pPr>
      <w:r>
        <w:t>Zákaz požívání alkoholických n</w:t>
      </w:r>
      <w:r>
        <w:t>ápojů a jiných návykových látek se dále vztahuje na: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t>veřejné prostranství nacházející se v okruhu 50 m od sportovní haly umístěné na adrese Lipová alej 4110/23a, Hodonín;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t xml:space="preserve">veřejné prostranství nacházející se v okruhu 50 m od obchodního centra nacházejícího </w:t>
      </w:r>
      <w:r>
        <w:t>se na adrese Konečná 4010/4, Hodonín.</w:t>
      </w:r>
    </w:p>
    <w:p w:rsidR="003256AC" w:rsidRDefault="009B68B8">
      <w:pPr>
        <w:pStyle w:val="Styl1"/>
      </w:pPr>
      <w:r>
        <w:t xml:space="preserve">Zákaz </w:t>
      </w:r>
      <w:r>
        <w:rPr>
          <w:rStyle w:val="Styl1Char"/>
        </w:rPr>
        <w:t xml:space="preserve">požívání alkoholických nápojů </w:t>
      </w:r>
      <w:r>
        <w:t>dle této vyhlášky</w:t>
      </w:r>
      <w:r>
        <w:rPr>
          <w:rStyle w:val="Styl1Char"/>
        </w:rPr>
        <w:t xml:space="preserve"> </w:t>
      </w:r>
      <w:r>
        <w:t>se nevztahuje na: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t>prostory předzahrádek a zahrádek, které jsou součástí zařízení poskytujících hostinskou činnost, v souladu s jejich provozní dobou, které jsou umí</w:t>
      </w:r>
      <w:r>
        <w:t xml:space="preserve">stěny na dotčených prostranstvích; 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t>stánky s občerstvením a jiná obdobná zařízení s občerstvením, které jsou umístěny na dotčených prostranstvích, a kde je možný prodej alkoholických nápojů ve smyslu zvláštních právních předpisů, a to v okruhu do 10 m od s</w:t>
      </w:r>
      <w:r>
        <w:t>tánku s občerstvením či jiného obdobného zařízení s občerstvením.</w:t>
      </w:r>
      <w:r>
        <w:rPr>
          <w:rStyle w:val="FootnoteAnchor"/>
        </w:rPr>
        <w:footnoteReference w:id="2"/>
      </w:r>
    </w:p>
    <w:p w:rsidR="003256AC" w:rsidRDefault="009B68B8">
      <w:pPr>
        <w:pStyle w:val="Styl1"/>
        <w:rPr>
          <w:rStyle w:val="Styl1Char"/>
        </w:rPr>
      </w:pPr>
      <w:r>
        <w:rPr>
          <w:rStyle w:val="Styl1Char"/>
        </w:rPr>
        <w:t>Zákaz požívání alkoholických nápojů dle této vyhlášky se nevztahuje na dny 1. 1. a 31. 12. kalendářního roku.</w:t>
      </w:r>
    </w:p>
    <w:p w:rsidR="003256AC" w:rsidRDefault="009B68B8">
      <w:pPr>
        <w:pStyle w:val="Styl1"/>
      </w:pPr>
      <w:r>
        <w:rPr>
          <w:rStyle w:val="Styl1Char"/>
        </w:rPr>
        <w:t>Zákaz požívání alkoholických nápojů dle této vyhlášky se nevztahuje na dobu kon</w:t>
      </w:r>
      <w:r>
        <w:rPr>
          <w:rStyle w:val="Styl1Char"/>
        </w:rPr>
        <w:t>ání níže uvedených akcí: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lastRenderedPageBreak/>
        <w:t>Fašank Hodonín</w:t>
      </w:r>
      <w:r>
        <w:rPr>
          <w:rStyle w:val="Styl1Char"/>
        </w:rPr>
        <w:t>,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rPr>
          <w:rStyle w:val="Styl1Char"/>
        </w:rPr>
        <w:t>Hodonínská zahrada,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rPr>
          <w:rStyle w:val="Styl1Char"/>
        </w:rPr>
        <w:t>Odemykání řeky Moravy,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rPr>
          <w:rStyle w:val="Styl1Char"/>
        </w:rPr>
        <w:t>Vodní království,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rPr>
          <w:rStyle w:val="Styl1Char"/>
        </w:rPr>
        <w:t>Posezení pod Májou,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rPr>
          <w:rStyle w:val="Styl1Char"/>
        </w:rPr>
        <w:t>Svatovavřinecké slavnosti,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rPr>
          <w:rStyle w:val="Styl1Char"/>
        </w:rPr>
        <w:t>Letní filmové kino,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rPr>
          <w:rStyle w:val="Styl1Char"/>
        </w:rPr>
        <w:t>Svátek vína,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rPr>
          <w:rStyle w:val="Styl1Char"/>
        </w:rPr>
        <w:t>Svatomartinské slavnosti,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rPr>
          <w:rStyle w:val="Styl1Char"/>
        </w:rPr>
        <w:t>Oslavy vzniku ČSR,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rPr>
          <w:rStyle w:val="Styl1Char"/>
        </w:rPr>
        <w:t>Adventní zvonění,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t xml:space="preserve">Vánoční </w:t>
      </w:r>
      <w:r>
        <w:t>jarmark</w:t>
      </w:r>
      <w:r>
        <w:rPr>
          <w:rStyle w:val="Styl1Char"/>
        </w:rPr>
        <w:t>,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rPr>
          <w:rStyle w:val="Styl1Char"/>
        </w:rPr>
        <w:t>Den otevřených dveří radnice.</w:t>
      </w:r>
    </w:p>
    <w:p w:rsidR="003256AC" w:rsidRDefault="009B68B8">
      <w:pPr>
        <w:pStyle w:val="Styl1"/>
      </w:pPr>
      <w:r>
        <w:t>Rada města Hodonín může na základě žádosti doručené nejméně 30 dnů před konáním společenských, kulturních a sportovních akcích, které se uskuteční na veřejných prostranstvích vymezených dle čl. 3 odst. 2, udělit výjim</w:t>
      </w:r>
      <w:r>
        <w:t>ku ze zákazu požívání alkoholických nápojů dle čl. 3 odst. 1 této vyhlášky. Žádost musí obsahovat: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</w:pPr>
      <w:r>
        <w:t>jméno, příjmení nebo název, trvalý pobyt nebo sídlo pořadatele akce, identifikační číslo nebo číslo rodné (pouze jedná-li se o fyzickou osobu podnikající pod</w:t>
      </w:r>
      <w:r>
        <w:t xml:space="preserve"> rodným číslem);</w:t>
      </w:r>
    </w:p>
    <w:p w:rsidR="003256AC" w:rsidRDefault="009B68B8">
      <w:pPr>
        <w:pStyle w:val="Styl3"/>
        <w:numPr>
          <w:ilvl w:val="1"/>
          <w:numId w:val="12"/>
        </w:numPr>
        <w:ind w:left="714" w:hanging="357"/>
        <w:rPr>
          <w:rStyle w:val="Styl1Char"/>
        </w:rPr>
      </w:pPr>
      <w:r>
        <w:t>označení druhu akce, datum konání, počátek, konec a místo konání.</w:t>
      </w:r>
    </w:p>
    <w:p w:rsidR="003256AC" w:rsidRDefault="003256AC">
      <w:pPr>
        <w:pStyle w:val="Styl1"/>
        <w:numPr>
          <w:ilvl w:val="0"/>
          <w:numId w:val="0"/>
        </w:numPr>
        <w:ind w:left="357"/>
        <w:rPr>
          <w:rStyle w:val="Styl1Char"/>
        </w:rPr>
      </w:pPr>
    </w:p>
    <w:p w:rsidR="003256AC" w:rsidRDefault="009B68B8">
      <w:pPr>
        <w:pStyle w:val="Nadpis1"/>
        <w:spacing w:before="0"/>
      </w:pPr>
      <w:bookmarkStart w:id="5" w:name="__RefHeading___Toc22189411"/>
      <w:bookmarkEnd w:id="5"/>
      <w:r>
        <w:t>Čl. 4 - Závěrečná ustanovení</w:t>
      </w:r>
    </w:p>
    <w:p w:rsidR="003256AC" w:rsidRDefault="003256AC">
      <w:pPr>
        <w:jc w:val="center"/>
        <w:rPr>
          <w:b/>
        </w:rPr>
      </w:pPr>
    </w:p>
    <w:p w:rsidR="003256AC" w:rsidRDefault="009B68B8">
      <w:pPr>
        <w:pStyle w:val="Styl2"/>
      </w:pPr>
      <w:r>
        <w:t>Porušení povinností stanovených touto vyhláškou bude posuzováno podle zvláštních právních předpisů.</w:t>
      </w:r>
    </w:p>
    <w:p w:rsidR="003256AC" w:rsidRDefault="003256AC">
      <w:pPr>
        <w:jc w:val="both"/>
      </w:pPr>
    </w:p>
    <w:p w:rsidR="003256AC" w:rsidRDefault="009B68B8">
      <w:pPr>
        <w:pStyle w:val="Nadpis1"/>
        <w:spacing w:before="0"/>
      </w:pPr>
      <w:bookmarkStart w:id="6" w:name="__RefHeading___Toc22189412"/>
      <w:bookmarkEnd w:id="6"/>
      <w:r>
        <w:t>Čl. 5 - Zrušovací ustanovení</w:t>
      </w:r>
    </w:p>
    <w:p w:rsidR="003256AC" w:rsidRDefault="003256AC"/>
    <w:p w:rsidR="003256AC" w:rsidRDefault="009B68B8">
      <w:pPr>
        <w:pStyle w:val="Styl2"/>
      </w:pPr>
      <w:r>
        <w:t>Nabytím úči</w:t>
      </w:r>
      <w:r>
        <w:t>nnosti této vyhlášky se ruší vyhláška č. 5/2008, o zákazu požívání alkoholických nápojů a jiných návykových látek na veřejném prostranství.</w:t>
      </w:r>
    </w:p>
    <w:p w:rsidR="003256AC" w:rsidRDefault="003256AC">
      <w:pPr>
        <w:jc w:val="both"/>
      </w:pPr>
    </w:p>
    <w:p w:rsidR="003256AC" w:rsidRDefault="009B68B8">
      <w:pPr>
        <w:pStyle w:val="Nadpis1"/>
        <w:spacing w:before="0"/>
      </w:pPr>
      <w:bookmarkStart w:id="7" w:name="__RefHeading___Toc22189413"/>
      <w:bookmarkEnd w:id="7"/>
      <w:r>
        <w:t>Čl. 6 - Účinnost</w:t>
      </w:r>
    </w:p>
    <w:p w:rsidR="003256AC" w:rsidRDefault="003256AC"/>
    <w:p w:rsidR="003256AC" w:rsidRDefault="009B68B8">
      <w:pPr>
        <w:pStyle w:val="Styl2"/>
      </w:pPr>
      <w:r>
        <w:t>Tato vyhláška nabývá účinnosti patnáctým dnem po jejím vyhlášení.</w:t>
      </w:r>
    </w:p>
    <w:p w:rsidR="003256AC" w:rsidRDefault="003256AC"/>
    <w:p w:rsidR="003256AC" w:rsidRDefault="003256AC">
      <w:pPr>
        <w:jc w:val="both"/>
      </w:pPr>
    </w:p>
    <w:p w:rsidR="003256AC" w:rsidRDefault="003256AC">
      <w:pPr>
        <w:jc w:val="both"/>
      </w:pPr>
    </w:p>
    <w:p w:rsidR="003256AC" w:rsidRDefault="003256AC">
      <w:pPr>
        <w:jc w:val="both"/>
      </w:pPr>
    </w:p>
    <w:p w:rsidR="003256AC" w:rsidRDefault="003256AC">
      <w:pPr>
        <w:jc w:val="both"/>
      </w:pPr>
    </w:p>
    <w:p w:rsidR="003256AC" w:rsidRDefault="003256AC">
      <w:pPr>
        <w:jc w:val="both"/>
      </w:pPr>
    </w:p>
    <w:tbl>
      <w:tblPr>
        <w:tblW w:w="9072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096"/>
        <w:gridCol w:w="2730"/>
        <w:gridCol w:w="3246"/>
      </w:tblGrid>
      <w:tr w:rsidR="003256AC">
        <w:tc>
          <w:tcPr>
            <w:tcW w:w="3096" w:type="dxa"/>
          </w:tcPr>
          <w:p w:rsidR="003256AC" w:rsidRDefault="009B68B8">
            <w:pPr>
              <w:jc w:val="center"/>
            </w:pPr>
            <w:r>
              <w:t>………………………………</w:t>
            </w:r>
          </w:p>
        </w:tc>
        <w:tc>
          <w:tcPr>
            <w:tcW w:w="2730" w:type="dxa"/>
          </w:tcPr>
          <w:p w:rsidR="003256AC" w:rsidRDefault="003256AC">
            <w:pPr>
              <w:snapToGrid w:val="0"/>
              <w:jc w:val="center"/>
            </w:pPr>
          </w:p>
        </w:tc>
        <w:tc>
          <w:tcPr>
            <w:tcW w:w="3246" w:type="dxa"/>
          </w:tcPr>
          <w:p w:rsidR="003256AC" w:rsidRDefault="009B68B8">
            <w:pPr>
              <w:jc w:val="center"/>
            </w:pPr>
            <w:r>
              <w:t>………………………………</w:t>
            </w:r>
          </w:p>
        </w:tc>
      </w:tr>
      <w:tr w:rsidR="003256AC">
        <w:tc>
          <w:tcPr>
            <w:tcW w:w="3096" w:type="dxa"/>
          </w:tcPr>
          <w:p w:rsidR="003256AC" w:rsidRDefault="009B68B8">
            <w:pPr>
              <w:jc w:val="center"/>
              <w:rPr>
                <w:b/>
              </w:rPr>
            </w:pPr>
            <w:r>
              <w:rPr>
                <w:b/>
              </w:rPr>
              <w:t>Libor Střecha</w:t>
            </w:r>
          </w:p>
        </w:tc>
        <w:tc>
          <w:tcPr>
            <w:tcW w:w="2730" w:type="dxa"/>
          </w:tcPr>
          <w:p w:rsidR="003256AC" w:rsidRDefault="003256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3256AC" w:rsidRDefault="009B68B8">
            <w:pPr>
              <w:jc w:val="center"/>
              <w:rPr>
                <w:b/>
              </w:rPr>
            </w:pPr>
            <w:r>
              <w:rPr>
                <w:b/>
              </w:rPr>
              <w:t>Mgr. Ladislav Ambrozek</w:t>
            </w:r>
          </w:p>
        </w:tc>
      </w:tr>
      <w:tr w:rsidR="003256AC">
        <w:trPr>
          <w:trHeight w:val="80"/>
        </w:trPr>
        <w:tc>
          <w:tcPr>
            <w:tcW w:w="3096" w:type="dxa"/>
          </w:tcPr>
          <w:p w:rsidR="003256AC" w:rsidRDefault="009B68B8">
            <w:pPr>
              <w:jc w:val="center"/>
            </w:pPr>
            <w:r>
              <w:t>starosta města</w:t>
            </w:r>
          </w:p>
        </w:tc>
        <w:tc>
          <w:tcPr>
            <w:tcW w:w="2730" w:type="dxa"/>
          </w:tcPr>
          <w:p w:rsidR="003256AC" w:rsidRDefault="003256AC">
            <w:pPr>
              <w:snapToGrid w:val="0"/>
              <w:jc w:val="center"/>
            </w:pPr>
          </w:p>
        </w:tc>
        <w:tc>
          <w:tcPr>
            <w:tcW w:w="3246" w:type="dxa"/>
          </w:tcPr>
          <w:p w:rsidR="003256AC" w:rsidRDefault="009B68B8">
            <w:pPr>
              <w:jc w:val="center"/>
            </w:pPr>
            <w:r>
              <w:t>místostarosta města</w:t>
            </w:r>
          </w:p>
        </w:tc>
      </w:tr>
    </w:tbl>
    <w:p w:rsidR="003256AC" w:rsidRDefault="009B68B8">
      <w:pPr>
        <w:ind w:firstLine="360"/>
        <w:jc w:val="both"/>
      </w:pPr>
      <w:r>
        <w:tab/>
        <w:t xml:space="preserve">                                  </w:t>
      </w:r>
    </w:p>
    <w:p w:rsidR="003256AC" w:rsidRDefault="003256AC">
      <w:pPr>
        <w:jc w:val="both"/>
        <w:rPr>
          <w:color w:val="000000"/>
        </w:rPr>
      </w:pPr>
    </w:p>
    <w:p w:rsidR="003256AC" w:rsidRDefault="003256AC">
      <w:pPr>
        <w:jc w:val="both"/>
        <w:rPr>
          <w:color w:val="000000"/>
        </w:rPr>
      </w:pPr>
    </w:p>
    <w:p w:rsidR="003256AC" w:rsidRDefault="003256AC">
      <w:pPr>
        <w:tabs>
          <w:tab w:val="left" w:pos="3570"/>
        </w:tabs>
        <w:rPr>
          <w:color w:val="000000"/>
        </w:rPr>
      </w:pPr>
    </w:p>
    <w:p w:rsidR="003256AC" w:rsidRDefault="003256AC">
      <w:pPr>
        <w:tabs>
          <w:tab w:val="left" w:pos="3570"/>
        </w:tabs>
        <w:rPr>
          <w:b/>
          <w:color w:val="000000"/>
          <w:u w:val="single"/>
        </w:rPr>
      </w:pPr>
    </w:p>
    <w:p w:rsidR="003256AC" w:rsidRDefault="003256AC">
      <w:pPr>
        <w:tabs>
          <w:tab w:val="left" w:pos="3570"/>
        </w:tabs>
        <w:rPr>
          <w:b/>
          <w:u w:val="single"/>
        </w:rPr>
      </w:pPr>
    </w:p>
    <w:p w:rsidR="003256AC" w:rsidRDefault="003256AC">
      <w:pPr>
        <w:tabs>
          <w:tab w:val="left" w:pos="6642"/>
        </w:tabs>
        <w:rPr>
          <w:b/>
          <w:u w:val="single"/>
        </w:rPr>
      </w:pPr>
    </w:p>
    <w:sectPr w:rsidR="003256AC">
      <w:type w:val="continuous"/>
      <w:pgSz w:w="11906" w:h="16838"/>
      <w:pgMar w:top="1418" w:right="1134" w:bottom="1418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8B8" w:rsidRDefault="009B68B8">
      <w:r>
        <w:separator/>
      </w:r>
    </w:p>
  </w:endnote>
  <w:endnote w:type="continuationSeparator" w:id="0">
    <w:p w:rsidR="009B68B8" w:rsidRDefault="009B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8B8" w:rsidRDefault="009B68B8">
      <w:pPr>
        <w:rPr>
          <w:sz w:val="12"/>
        </w:rPr>
      </w:pPr>
      <w:r>
        <w:separator/>
      </w:r>
    </w:p>
  </w:footnote>
  <w:footnote w:type="continuationSeparator" w:id="0">
    <w:p w:rsidR="009B68B8" w:rsidRDefault="009B68B8">
      <w:pPr>
        <w:rPr>
          <w:sz w:val="12"/>
        </w:rPr>
      </w:pPr>
      <w:r>
        <w:continuationSeparator/>
      </w:r>
    </w:p>
  </w:footnote>
  <w:footnote w:id="1">
    <w:p w:rsidR="003256AC" w:rsidRDefault="009B68B8">
      <w:pPr>
        <w:pStyle w:val="Textpoznpodarou"/>
      </w:pPr>
      <w:r>
        <w:rPr>
          <w:rStyle w:val="FootnoteCharacters"/>
        </w:rPr>
        <w:footnoteRef/>
      </w:r>
      <w:r>
        <w:t xml:space="preserve"> § 34 zák. č. 128/2000 Sb., o obcích (obecní </w:t>
      </w:r>
      <w:r>
        <w:t>zřízení), ve znění pozdějších předpisů</w:t>
      </w:r>
    </w:p>
  </w:footnote>
  <w:footnote w:id="2">
    <w:p w:rsidR="003256AC" w:rsidRDefault="009B68B8">
      <w:pPr>
        <w:pStyle w:val="Textpoznpodarou"/>
      </w:pPr>
      <w:r>
        <w:rPr>
          <w:rStyle w:val="FootnoteCharacters"/>
        </w:rPr>
        <w:footnoteRef/>
      </w:r>
      <w:r>
        <w:t xml:space="preserve"> Tržní řád města Hodonín dostupný na </w:t>
      </w:r>
      <w:hyperlink r:id="rId1">
        <w:r>
          <w:rPr>
            <w:rStyle w:val="Hypertextovodkaz"/>
          </w:rPr>
          <w:t>www.hodonin.eu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6169"/>
    <w:multiLevelType w:val="multilevel"/>
    <w:tmpl w:val="7E9EFFA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92DAF"/>
    <w:multiLevelType w:val="multilevel"/>
    <w:tmpl w:val="7DA0FE3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2D2517"/>
    <w:multiLevelType w:val="multilevel"/>
    <w:tmpl w:val="1B70DA8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7C72C4"/>
    <w:multiLevelType w:val="multilevel"/>
    <w:tmpl w:val="51ACCE2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FB057E"/>
    <w:multiLevelType w:val="multilevel"/>
    <w:tmpl w:val="AE3471A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8B11E6"/>
    <w:multiLevelType w:val="multilevel"/>
    <w:tmpl w:val="AA9C99C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FF4D5D"/>
    <w:multiLevelType w:val="multilevel"/>
    <w:tmpl w:val="81F628C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BF5E8A"/>
    <w:multiLevelType w:val="multilevel"/>
    <w:tmpl w:val="2DAC9F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F2077C"/>
    <w:multiLevelType w:val="multilevel"/>
    <w:tmpl w:val="8550CB4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A04CAD"/>
    <w:multiLevelType w:val="multilevel"/>
    <w:tmpl w:val="B60EA72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E0467D"/>
    <w:multiLevelType w:val="multilevel"/>
    <w:tmpl w:val="B8FE747C"/>
    <w:lvl w:ilvl="0">
      <w:start w:val="1"/>
      <w:numFmt w:val="decimal"/>
      <w:pStyle w:val="Styl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5884383"/>
    <w:multiLevelType w:val="multilevel"/>
    <w:tmpl w:val="941A25C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AC"/>
    <w:rsid w:val="003256AC"/>
    <w:rsid w:val="009B68B8"/>
    <w:rsid w:val="00A3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2966B-5368-4A58-AD95-AC393242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  <w:rPr>
      <w:rFonts w:ascii="Times New Roman" w:eastAsia="Times New Roman" w:hAnsi="Times New Roman" w:cs="Times New Roman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styleId="Hypertextovodkaz">
    <w:name w:val="Hyperlink"/>
    <w:rPr>
      <w:color w:val="0000FF"/>
      <w:u w:val="single"/>
    </w:rPr>
  </w:style>
  <w:style w:type="character" w:styleId="AkronymHTML">
    <w:name w:val="HTML Acronym"/>
    <w:basedOn w:val="Standardnpsmoodstavce"/>
    <w:qFormat/>
  </w:style>
  <w:style w:type="character" w:styleId="CittHTML">
    <w:name w:val="HTML Cite"/>
    <w:qFormat/>
    <w:rPr>
      <w:i/>
      <w:iCs/>
    </w:rPr>
  </w:style>
  <w:style w:type="character" w:customStyle="1" w:styleId="LineNumbering">
    <w:name w:val="Line Numbering"/>
    <w:basedOn w:val="Standardnpsmoodstavce"/>
  </w:style>
  <w:style w:type="character" w:styleId="slostrnky">
    <w:name w:val="page number"/>
    <w:basedOn w:val="Standardnpsmoodstavce"/>
  </w:style>
  <w:style w:type="character" w:styleId="DefiniceHTML">
    <w:name w:val="HTML Definition"/>
    <w:qFormat/>
    <w:rPr>
      <w:i/>
      <w:iCs/>
    </w:rPr>
  </w:style>
  <w:style w:type="character" w:styleId="KlvesniceHTML">
    <w:name w:val="HTML Keyboard"/>
    <w:qFormat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Pr>
      <w:rFonts w:ascii="Courier New" w:hAnsi="Courier New" w:cs="Courier New"/>
      <w:sz w:val="20"/>
      <w:szCs w:val="20"/>
    </w:rPr>
  </w:style>
  <w:style w:type="character" w:styleId="PromnnHTML">
    <w:name w:val="HTML Variable"/>
    <w:qFormat/>
    <w:rPr>
      <w:i/>
      <w:iCs/>
    </w:rPr>
  </w:style>
  <w:style w:type="character" w:styleId="PsacstrojHTML">
    <w:name w:val="HTML Typewriter"/>
    <w:qFormat/>
    <w:rPr>
      <w:rFonts w:ascii="Courier New" w:hAnsi="Courier New" w:cs="Courier New"/>
      <w:sz w:val="20"/>
      <w:szCs w:val="20"/>
    </w:rPr>
  </w:style>
  <w:style w:type="character" w:customStyle="1" w:styleId="StrongEmphasis">
    <w:name w:val="Strong Emphasis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qFormat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character" w:customStyle="1" w:styleId="TextpoznpodarouChar">
    <w:name w:val="Text pozn. pod čarou Char"/>
    <w:basedOn w:val="Standardnpsmoodstavce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Styl1Char">
    <w:name w:val="Styl1 Char"/>
    <w:qFormat/>
    <w:rPr>
      <w:sz w:val="24"/>
      <w:szCs w:val="24"/>
    </w:rPr>
  </w:style>
  <w:style w:type="character" w:customStyle="1" w:styleId="Styl2Char">
    <w:name w:val="Styl2 Char"/>
    <w:qFormat/>
    <w:rPr>
      <w:sz w:val="24"/>
      <w:szCs w:val="24"/>
    </w:rPr>
  </w:style>
  <w:style w:type="character" w:customStyle="1" w:styleId="Styl3Char">
    <w:name w:val="Styl3 Char"/>
    <w:qFormat/>
    <w:rPr>
      <w:sz w:val="24"/>
      <w:szCs w:val="24"/>
    </w:rPr>
  </w:style>
  <w:style w:type="character" w:customStyle="1" w:styleId="Styl4Char">
    <w:name w:val="Styl4 Char"/>
    <w:qFormat/>
    <w:rPr>
      <w:sz w:val="24"/>
      <w:szCs w:val="24"/>
    </w:rPr>
  </w:style>
  <w:style w:type="character" w:customStyle="1" w:styleId="IndexLink">
    <w:name w:val="Index Link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</w:style>
  <w:style w:type="paragraph" w:styleId="Obsah2">
    <w:name w:val="toc 2"/>
    <w:basedOn w:val="Normln"/>
    <w:next w:val="Normln"/>
    <w:pPr>
      <w:ind w:left="240"/>
    </w:pPr>
  </w:style>
  <w:style w:type="paragraph" w:styleId="slovanseznam3">
    <w:name w:val="List Number 3"/>
    <w:basedOn w:val="Normln"/>
    <w:qFormat/>
    <w:pPr>
      <w:numPr>
        <w:numId w:val="4"/>
      </w:numPr>
    </w:pPr>
  </w:style>
  <w:style w:type="paragraph" w:styleId="AdresaHTML">
    <w:name w:val="HTML Address"/>
    <w:basedOn w:val="Normln"/>
    <w:qFormat/>
    <w:rPr>
      <w:i/>
      <w:iCs/>
    </w:rPr>
  </w:style>
  <w:style w:type="paragraph" w:styleId="Adresanaoblku">
    <w:name w:val="envelope address"/>
    <w:basedOn w:val="Normln"/>
    <w:pPr>
      <w:ind w:left="2880"/>
    </w:pPr>
    <w:rPr>
      <w:rFonts w:ascii="Arial" w:hAnsi="Arial" w:cs="Arial"/>
    </w:rPr>
  </w:style>
  <w:style w:type="paragraph" w:styleId="slovanseznam">
    <w:name w:val="List Number"/>
    <w:basedOn w:val="Normln"/>
    <w:qFormat/>
    <w:pPr>
      <w:numPr>
        <w:numId w:val="10"/>
      </w:numPr>
    </w:pPr>
  </w:style>
  <w:style w:type="paragraph" w:styleId="slovanseznam2">
    <w:name w:val="List Number 2"/>
    <w:basedOn w:val="Normln"/>
    <w:qFormat/>
    <w:pPr>
      <w:numPr>
        <w:numId w:val="5"/>
      </w:numPr>
    </w:pPr>
  </w:style>
  <w:style w:type="paragraph" w:styleId="slovanseznam4">
    <w:name w:val="List Number 4"/>
    <w:basedOn w:val="Normln"/>
    <w:qFormat/>
    <w:pPr>
      <w:numPr>
        <w:numId w:val="3"/>
      </w:numPr>
    </w:pPr>
  </w:style>
  <w:style w:type="paragraph" w:styleId="slovanseznam5">
    <w:name w:val="List Number 5"/>
    <w:basedOn w:val="Normln"/>
    <w:qFormat/>
    <w:pPr>
      <w:numPr>
        <w:numId w:val="2"/>
      </w:numPr>
    </w:pPr>
  </w:style>
  <w:style w:type="paragraph" w:styleId="Datum">
    <w:name w:val="Date"/>
    <w:basedOn w:val="Normln"/>
    <w:next w:val="Normln"/>
    <w:qFormat/>
  </w:style>
  <w:style w:type="paragraph" w:styleId="FormtovanvHTML">
    <w:name w:val="HTML Preformatted"/>
    <w:basedOn w:val="Normln"/>
    <w:qFormat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qFormat/>
  </w:style>
  <w:style w:type="paragraph" w:styleId="Normlnweb">
    <w:name w:val="Normal (Web)"/>
    <w:basedOn w:val="Normln"/>
    <w:qFormat/>
  </w:style>
  <w:style w:type="paragraph" w:styleId="Normlnodsazen">
    <w:name w:val="Normal Indent"/>
    <w:basedOn w:val="Normln"/>
    <w:qFormat/>
    <w:pPr>
      <w:ind w:left="708"/>
    </w:pPr>
  </w:style>
  <w:style w:type="paragraph" w:styleId="Osloven">
    <w:name w:val="Salutation"/>
    <w:basedOn w:val="Normln"/>
    <w:next w:val="Normln"/>
    <w:qFormat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  <w:qFormat/>
  </w:style>
  <w:style w:type="paragraph" w:styleId="Podtitul">
    <w:name w:val="Subtitle"/>
    <w:basedOn w:val="Normln"/>
    <w:next w:val="Zkladntext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qFormat/>
    <w:pPr>
      <w:spacing w:after="120"/>
      <w:ind w:left="283"/>
    </w:pPr>
  </w:style>
  <w:style w:type="paragraph" w:styleId="Pokraovnseznamu2">
    <w:name w:val="List Continue 2"/>
    <w:basedOn w:val="Normln"/>
    <w:qFormat/>
    <w:pPr>
      <w:spacing w:after="120"/>
      <w:ind w:left="566"/>
    </w:pPr>
  </w:style>
  <w:style w:type="paragraph" w:styleId="Pokraovnseznamu3">
    <w:name w:val="List Continue 3"/>
    <w:basedOn w:val="Normln"/>
    <w:qFormat/>
    <w:pPr>
      <w:spacing w:after="120"/>
      <w:ind w:left="849"/>
    </w:pPr>
  </w:style>
  <w:style w:type="paragraph" w:styleId="Pokraovnseznamu4">
    <w:name w:val="List Continue 4"/>
    <w:basedOn w:val="Normln"/>
    <w:qFormat/>
    <w:pPr>
      <w:spacing w:after="120"/>
      <w:ind w:left="1132"/>
    </w:pPr>
  </w:style>
  <w:style w:type="paragraph" w:styleId="Pokraovnseznamu5">
    <w:name w:val="List Continue 5"/>
    <w:basedOn w:val="Normln"/>
    <w:qFormat/>
    <w:pPr>
      <w:spacing w:after="120"/>
      <w:ind w:left="1415"/>
    </w:pPr>
  </w:style>
  <w:style w:type="paragraph" w:styleId="Prosttext">
    <w:name w:val="Plain Text"/>
    <w:basedOn w:val="Normln"/>
    <w:qFormat/>
    <w:rPr>
      <w:rFonts w:ascii="Courier New" w:hAnsi="Courier New" w:cs="Courier New"/>
      <w:sz w:val="20"/>
      <w:szCs w:val="20"/>
    </w:rPr>
  </w:style>
  <w:style w:type="paragraph" w:styleId="Seznam2">
    <w:name w:val="List 2"/>
    <w:basedOn w:val="Normln"/>
    <w:qFormat/>
    <w:pPr>
      <w:ind w:left="566" w:hanging="283"/>
    </w:pPr>
  </w:style>
  <w:style w:type="paragraph" w:styleId="Seznam3">
    <w:name w:val="List 3"/>
    <w:basedOn w:val="Normln"/>
    <w:qFormat/>
    <w:pPr>
      <w:ind w:left="849" w:hanging="283"/>
    </w:pPr>
  </w:style>
  <w:style w:type="paragraph" w:styleId="Seznam4">
    <w:name w:val="List 4"/>
    <w:basedOn w:val="Normln"/>
    <w:qFormat/>
    <w:pPr>
      <w:ind w:left="1132" w:hanging="283"/>
    </w:pPr>
  </w:style>
  <w:style w:type="paragraph" w:styleId="Seznam5">
    <w:name w:val="List 5"/>
    <w:basedOn w:val="Normln"/>
    <w:qFormat/>
    <w:pPr>
      <w:ind w:left="1415" w:hanging="283"/>
    </w:pPr>
  </w:style>
  <w:style w:type="paragraph" w:styleId="Seznamsodrkami">
    <w:name w:val="List Bullet"/>
    <w:basedOn w:val="Normln"/>
    <w:qFormat/>
    <w:pPr>
      <w:numPr>
        <w:numId w:val="11"/>
      </w:numPr>
    </w:pPr>
  </w:style>
  <w:style w:type="paragraph" w:styleId="Seznamsodrkami2">
    <w:name w:val="List Bullet 2"/>
    <w:basedOn w:val="Normln"/>
    <w:qFormat/>
    <w:pPr>
      <w:numPr>
        <w:numId w:val="9"/>
      </w:numPr>
    </w:pPr>
  </w:style>
  <w:style w:type="paragraph" w:styleId="Seznamsodrkami3">
    <w:name w:val="List Bullet 3"/>
    <w:basedOn w:val="Normln"/>
    <w:qFormat/>
    <w:pPr>
      <w:numPr>
        <w:numId w:val="8"/>
      </w:numPr>
    </w:pPr>
  </w:style>
  <w:style w:type="paragraph" w:styleId="Seznamsodrkami4">
    <w:name w:val="List Bullet 4"/>
    <w:basedOn w:val="Normln"/>
    <w:qFormat/>
    <w:pPr>
      <w:numPr>
        <w:numId w:val="7"/>
      </w:numPr>
    </w:pPr>
  </w:style>
  <w:style w:type="paragraph" w:styleId="Seznamsodrkami5">
    <w:name w:val="List Bullet 5"/>
    <w:basedOn w:val="Normln"/>
    <w:qFormat/>
    <w:pPr>
      <w:numPr>
        <w:numId w:val="6"/>
      </w:numPr>
    </w:pPr>
  </w:style>
  <w:style w:type="paragraph" w:styleId="Textvbloku">
    <w:name w:val="Block Text"/>
    <w:basedOn w:val="Normln"/>
    <w:qFormat/>
    <w:pPr>
      <w:spacing w:after="120"/>
      <w:ind w:left="1440" w:right="1440"/>
    </w:pPr>
  </w:style>
  <w:style w:type="paragraph" w:styleId="Zhlavzprvy">
    <w:name w:val="Message Header"/>
    <w:basedOn w:val="Normln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styleId="Zkladntext-prvnodsazen">
    <w:name w:val="Body Text First Indent"/>
    <w:basedOn w:val="Zkladntext"/>
    <w:qFormat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qFormat/>
    <w:pPr>
      <w:ind w:firstLine="210"/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styleId="Zkladntext3">
    <w:name w:val="Body Text 3"/>
    <w:basedOn w:val="Normln"/>
    <w:qFormat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styleId="Zkladntextodsazen3">
    <w:name w:val="Body Text Indent 3"/>
    <w:basedOn w:val="Normln"/>
    <w:qFormat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qFormat/>
    <w:pPr>
      <w:ind w:left="4252"/>
    </w:p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Odstavecseseznamem">
    <w:name w:val="List Paragraph"/>
    <w:basedOn w:val="Normln"/>
    <w:qFormat/>
    <w:pPr>
      <w:ind w:left="708"/>
      <w:jc w:val="both"/>
    </w:pPr>
  </w:style>
  <w:style w:type="paragraph" w:customStyle="1" w:styleId="Styl1">
    <w:name w:val="Styl1"/>
    <w:basedOn w:val="Normln"/>
    <w:qFormat/>
    <w:pPr>
      <w:numPr>
        <w:numId w:val="12"/>
      </w:numPr>
      <w:ind w:left="357" w:hanging="357"/>
      <w:jc w:val="both"/>
    </w:pPr>
  </w:style>
  <w:style w:type="paragraph" w:customStyle="1" w:styleId="Styl2">
    <w:name w:val="Styl2"/>
    <w:basedOn w:val="Normln"/>
    <w:qFormat/>
    <w:pPr>
      <w:jc w:val="both"/>
    </w:pPr>
  </w:style>
  <w:style w:type="paragraph" w:customStyle="1" w:styleId="Styl3">
    <w:name w:val="Styl3"/>
    <w:basedOn w:val="Normln"/>
    <w:qFormat/>
    <w:pPr>
      <w:tabs>
        <w:tab w:val="num" w:pos="0"/>
      </w:tabs>
      <w:ind w:left="714" w:hanging="357"/>
      <w:jc w:val="both"/>
    </w:pPr>
  </w:style>
  <w:style w:type="paragraph" w:customStyle="1" w:styleId="Styl4">
    <w:name w:val="Styl4"/>
    <w:basedOn w:val="Normln"/>
    <w:qFormat/>
    <w:pPr>
      <w:tabs>
        <w:tab w:val="num" w:pos="0"/>
      </w:tabs>
      <w:ind w:left="1134"/>
      <w:jc w:val="both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donin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Staňková Jana DiS.</dc:creator>
  <cp:lastModifiedBy>Staňková Jana DiS.</cp:lastModifiedBy>
  <cp:revision>2</cp:revision>
  <dcterms:created xsi:type="dcterms:W3CDTF">2023-01-23T12:44:00Z</dcterms:created>
  <dcterms:modified xsi:type="dcterms:W3CDTF">2023-01-23T12:44:00Z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2019-12-18T15:00:00Z</dcterms:created>
  <dc:creator>MPSV</dc:creator>
  <dc:description/>
  <dc:language>en-US</dc:language>
  <cp:lastModifiedBy>Šišáková Jitka</cp:lastModifiedBy>
  <cp:lastPrinted>2019-12-18T14:29:00Z</cp:lastPrinted>
  <dcterms:modified xsi:type="dcterms:W3CDTF">2019-12-18T15:01:00Z</dcterms:modified>
  <cp:revision>3</cp:revision>
  <dc:subject/>
  <dc:title/>
</cp:coreProperties>
</file>