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B2D9E" w14:textId="77777777" w:rsidR="00487494" w:rsidRDefault="00487494" w:rsidP="0048749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Obec Bílá Třemešná</w:t>
      </w:r>
    </w:p>
    <w:p w14:paraId="4E71B29B" w14:textId="77777777" w:rsidR="00487494" w:rsidRDefault="00487494" w:rsidP="0048749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obce Bílá Třemešná</w:t>
      </w:r>
    </w:p>
    <w:p w14:paraId="7ADDC497" w14:textId="7E7C4035" w:rsidR="00487494" w:rsidRDefault="00716301" w:rsidP="0048749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FF"/>
          <w:sz w:val="22"/>
          <w:szCs w:val="22"/>
        </w:rPr>
        <w:drawing>
          <wp:inline distT="0" distB="0" distL="0" distR="0" wp14:anchorId="6D0DA178" wp14:editId="1A38575D">
            <wp:extent cx="676275" cy="676275"/>
            <wp:effectExtent l="0" t="0" r="0" b="0"/>
            <wp:docPr id="1" name="Obrázek 1" descr="Znak obce Bílá Třemešná">
              <a:hlinkClick xmlns:a="http://schemas.openxmlformats.org/drawingml/2006/main" r:id="rId7" tooltip="Znak obce Bílá Třemeš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ílá Třemeš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BBE5B" w14:textId="77777777" w:rsidR="00487494" w:rsidRDefault="00487494" w:rsidP="00487494">
      <w:pPr>
        <w:pStyle w:val="Textbody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</w:t>
      </w:r>
    </w:p>
    <w:p w14:paraId="2B52794F" w14:textId="77777777" w:rsidR="005046D4" w:rsidRPr="00954E1A" w:rsidRDefault="00000000">
      <w:pPr>
        <w:pStyle w:val="Nadpis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obce Bílá Třemešná</w:t>
      </w:r>
      <w:r>
        <w:rPr>
          <w:rFonts w:ascii="Calibri" w:hAnsi="Calibri" w:cs="Calibri"/>
          <w:sz w:val="28"/>
          <w:szCs w:val="28"/>
        </w:rPr>
        <w:br/>
      </w:r>
      <w:r w:rsidR="00903B26">
        <w:rPr>
          <w:rFonts w:ascii="Calibri" w:hAnsi="Calibri" w:cs="Calibri"/>
          <w:sz w:val="28"/>
          <w:szCs w:val="28"/>
        </w:rPr>
        <w:t>o stanovení koeficientu pro výpočet daně z </w:t>
      </w:r>
      <w:r w:rsidR="00903B26" w:rsidRPr="00954E1A">
        <w:rPr>
          <w:rFonts w:ascii="Calibri" w:hAnsi="Calibri" w:cs="Calibri"/>
          <w:sz w:val="28"/>
          <w:szCs w:val="28"/>
        </w:rPr>
        <w:t>nemovitých věcí</w:t>
      </w:r>
    </w:p>
    <w:p w14:paraId="160493C8" w14:textId="77777777" w:rsidR="00D26575" w:rsidRDefault="00000000" w:rsidP="00D26575">
      <w:pPr>
        <w:pStyle w:val="UvodniVeta"/>
        <w:rPr>
          <w:rFonts w:ascii="Calibri" w:hAnsi="Calibri" w:cs="Calibri"/>
          <w:sz w:val="24"/>
          <w:szCs w:val="24"/>
        </w:rPr>
      </w:pPr>
      <w:r w:rsidRPr="00954E1A">
        <w:rPr>
          <w:rFonts w:ascii="Calibri" w:hAnsi="Calibri" w:cs="Calibri"/>
          <w:sz w:val="24"/>
          <w:szCs w:val="24"/>
        </w:rPr>
        <w:t>Zastupitelstvo obce Bílá Třemešná se na svém zasedání dne 1</w:t>
      </w:r>
      <w:r w:rsidR="00563AE7" w:rsidRPr="00954E1A">
        <w:rPr>
          <w:rFonts w:ascii="Calibri" w:hAnsi="Calibri" w:cs="Calibri"/>
          <w:sz w:val="24"/>
          <w:szCs w:val="24"/>
        </w:rPr>
        <w:t>9</w:t>
      </w:r>
      <w:r w:rsidRPr="00954E1A">
        <w:rPr>
          <w:rFonts w:ascii="Calibri" w:hAnsi="Calibri" w:cs="Calibri"/>
          <w:sz w:val="24"/>
          <w:szCs w:val="24"/>
        </w:rPr>
        <w:t xml:space="preserve">. </w:t>
      </w:r>
      <w:r w:rsidR="00563AE7" w:rsidRPr="00954E1A">
        <w:rPr>
          <w:rFonts w:ascii="Calibri" w:hAnsi="Calibri" w:cs="Calibri"/>
          <w:sz w:val="24"/>
          <w:szCs w:val="24"/>
        </w:rPr>
        <w:t>června</w:t>
      </w:r>
      <w:r>
        <w:rPr>
          <w:rFonts w:ascii="Calibri" w:hAnsi="Calibri" w:cs="Calibri"/>
          <w:sz w:val="24"/>
          <w:szCs w:val="24"/>
        </w:rPr>
        <w:t xml:space="preserve"> 202</w:t>
      </w:r>
      <w:r w:rsidR="00903B26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usneslo vydat na základě § 1</w:t>
      </w:r>
      <w:r w:rsidR="00D26575">
        <w:rPr>
          <w:rFonts w:ascii="Calibri" w:hAnsi="Calibri" w:cs="Calibri"/>
          <w:sz w:val="24"/>
          <w:szCs w:val="24"/>
        </w:rPr>
        <w:t>2</w:t>
      </w:r>
      <w:r w:rsidR="00903B26">
        <w:rPr>
          <w:rFonts w:ascii="Calibri" w:hAnsi="Calibri" w:cs="Calibri"/>
          <w:sz w:val="24"/>
          <w:szCs w:val="24"/>
        </w:rPr>
        <w:t xml:space="preserve"> odst. </w:t>
      </w:r>
      <w:r w:rsidR="00D26575">
        <w:rPr>
          <w:rFonts w:ascii="Calibri" w:hAnsi="Calibri" w:cs="Calibri"/>
          <w:sz w:val="24"/>
          <w:szCs w:val="24"/>
        </w:rPr>
        <w:t>1</w:t>
      </w:r>
      <w:r w:rsidR="00903B26">
        <w:rPr>
          <w:rFonts w:ascii="Calibri" w:hAnsi="Calibri" w:cs="Calibri"/>
          <w:sz w:val="24"/>
          <w:szCs w:val="24"/>
        </w:rPr>
        <w:t xml:space="preserve"> písm. </w:t>
      </w:r>
      <w:r w:rsidR="00D26575">
        <w:rPr>
          <w:rFonts w:ascii="Calibri" w:hAnsi="Calibri" w:cs="Calibri"/>
          <w:sz w:val="24"/>
          <w:szCs w:val="24"/>
        </w:rPr>
        <w:t>a</w:t>
      </w:r>
      <w:r w:rsidR="00903B26">
        <w:rPr>
          <w:rFonts w:ascii="Calibri" w:hAnsi="Calibri" w:cs="Calibri"/>
          <w:sz w:val="24"/>
          <w:szCs w:val="24"/>
        </w:rPr>
        <w:t xml:space="preserve">) </w:t>
      </w:r>
      <w:r w:rsidR="00D26575">
        <w:rPr>
          <w:rFonts w:ascii="Calibri" w:hAnsi="Calibri" w:cs="Calibri"/>
          <w:sz w:val="24"/>
          <w:szCs w:val="24"/>
        </w:rPr>
        <w:t>bodu 4 zákona</w:t>
      </w:r>
      <w:r>
        <w:rPr>
          <w:rFonts w:ascii="Calibri" w:hAnsi="Calibri" w:cs="Calibri"/>
          <w:sz w:val="24"/>
          <w:szCs w:val="24"/>
        </w:rPr>
        <w:t xml:space="preserve"> č. </w:t>
      </w:r>
      <w:r w:rsidR="00903B26">
        <w:rPr>
          <w:rFonts w:ascii="Calibri" w:hAnsi="Calibri" w:cs="Calibri"/>
          <w:sz w:val="24"/>
          <w:szCs w:val="24"/>
        </w:rPr>
        <w:t>338/</w:t>
      </w:r>
      <w:r>
        <w:rPr>
          <w:rFonts w:ascii="Calibri" w:hAnsi="Calibri" w:cs="Calibri"/>
          <w:sz w:val="24"/>
          <w:szCs w:val="24"/>
        </w:rPr>
        <w:t>199</w:t>
      </w:r>
      <w:r w:rsidR="00903B26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 Sb., o </w:t>
      </w:r>
      <w:r w:rsidR="00903B26">
        <w:rPr>
          <w:rFonts w:ascii="Calibri" w:hAnsi="Calibri" w:cs="Calibri"/>
          <w:sz w:val="24"/>
          <w:szCs w:val="24"/>
        </w:rPr>
        <w:t xml:space="preserve">dani z nemovitých věcí, ve znění pozdějších předpisů </w:t>
      </w:r>
      <w:r>
        <w:rPr>
          <w:rFonts w:ascii="Calibri" w:hAnsi="Calibri" w:cs="Calibri"/>
          <w:sz w:val="24"/>
          <w:szCs w:val="24"/>
        </w:rPr>
        <w:t>(dále jen „zákon o </w:t>
      </w:r>
      <w:r w:rsidR="00903B26">
        <w:rPr>
          <w:rFonts w:ascii="Calibri" w:hAnsi="Calibri" w:cs="Calibri"/>
          <w:sz w:val="24"/>
          <w:szCs w:val="24"/>
        </w:rPr>
        <w:t>dani z nemovitých věcí</w:t>
      </w:r>
      <w:r>
        <w:rPr>
          <w:rFonts w:ascii="Calibri" w:hAnsi="Calibri" w:cs="Calibri"/>
          <w:sz w:val="24"/>
          <w:szCs w:val="24"/>
        </w:rPr>
        <w:t xml:space="preserve">“), </w:t>
      </w:r>
      <w:r w:rsidR="00D26575">
        <w:rPr>
          <w:rFonts w:ascii="Calibri" w:hAnsi="Calibri" w:cs="Calibri"/>
          <w:sz w:val="24"/>
          <w:szCs w:val="24"/>
        </w:rPr>
        <w:t xml:space="preserve">a v souladu s § 10 písm. d) a § 84 odst. 2 písm. h) zákona č. 128/2000 Sb., o obcích (obecní zřízení), ve znění pozdějších předpisů, tuto obecně závaznou vyhlášku: </w:t>
      </w:r>
    </w:p>
    <w:p w14:paraId="48A62F74" w14:textId="77777777" w:rsidR="00D26575" w:rsidRDefault="00D26575">
      <w:pPr>
        <w:pStyle w:val="UvodniVeta"/>
        <w:rPr>
          <w:rFonts w:ascii="Calibri" w:hAnsi="Calibri" w:cs="Calibri"/>
        </w:rPr>
      </w:pPr>
    </w:p>
    <w:p w14:paraId="2A776024" w14:textId="77777777" w:rsidR="002F0489" w:rsidRDefault="00000000" w:rsidP="00D26575">
      <w:pPr>
        <w:keepNext/>
        <w:spacing w:after="240"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>
        <w:rPr>
          <w:rFonts w:ascii="Calibri" w:eastAsia="PingFang SC" w:hAnsi="Calibri" w:cs="Calibri"/>
          <w:b/>
          <w:bCs/>
          <w:sz w:val="28"/>
          <w:szCs w:val="28"/>
        </w:rPr>
        <w:t>Čl. 1</w:t>
      </w:r>
      <w:r>
        <w:rPr>
          <w:rFonts w:ascii="Calibri" w:hAnsi="Calibri" w:cs="Calibri"/>
          <w:sz w:val="28"/>
          <w:szCs w:val="28"/>
        </w:rPr>
        <w:br/>
      </w:r>
      <w:r w:rsidR="002F0489">
        <w:rPr>
          <w:rFonts w:ascii="Calibri" w:eastAsia="PingFang SC" w:hAnsi="Calibri" w:cs="Calibri"/>
          <w:b/>
          <w:bCs/>
          <w:sz w:val="28"/>
          <w:szCs w:val="28"/>
        </w:rPr>
        <w:t>Místní koeficient pro jednotlivé skupiny nemovitých věcí</w:t>
      </w:r>
    </w:p>
    <w:p w14:paraId="40B0073D" w14:textId="77777777" w:rsidR="002F0489" w:rsidRDefault="002F0489" w:rsidP="002F0489">
      <w:pPr>
        <w:pStyle w:val="Odstavecseseznamem"/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Obec Bílá Třemešná</w:t>
      </w:r>
      <w:r>
        <w:rPr>
          <w:rFonts w:cs="Calibri"/>
          <w:color w:val="00B0F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stanovuje místní koeficient ve výši 1,5 pro jednotlivé skupiny staveb a jednotek dle § 10a odst. 1 zákona o dani z nemovitých věcí, a to: </w:t>
      </w:r>
    </w:p>
    <w:p w14:paraId="3C1297E9" w14:textId="77777777" w:rsidR="002F0489" w:rsidRDefault="002F0489" w:rsidP="002F0489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709" w:hanging="43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rekreační budovy,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305A9CF0" w14:textId="77777777" w:rsidR="002F0489" w:rsidRDefault="002F0489" w:rsidP="002F0489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709" w:hanging="43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garáže,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1F436E1E" w14:textId="77777777" w:rsidR="002F0489" w:rsidRDefault="002F0489" w:rsidP="002F0489">
      <w:pPr>
        <w:pStyle w:val="Odstavecseseznamem"/>
        <w:numPr>
          <w:ilvl w:val="0"/>
          <w:numId w:val="6"/>
        </w:numPr>
        <w:spacing w:line="276" w:lineRule="auto"/>
        <w:ind w:left="709" w:hanging="43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zdanitelné stavby a zdanitelné jednotky pro podnikání v zemědělské prvovýrobě, lesním nebo vodním hospodářství,</w:t>
      </w:r>
    </w:p>
    <w:p w14:paraId="78E440F3" w14:textId="77777777" w:rsidR="002F0489" w:rsidRDefault="002F0489" w:rsidP="002F0489">
      <w:pPr>
        <w:pStyle w:val="Odstavecseseznamem"/>
        <w:numPr>
          <w:ilvl w:val="0"/>
          <w:numId w:val="6"/>
        </w:numPr>
        <w:tabs>
          <w:tab w:val="left" w:pos="709"/>
        </w:tabs>
        <w:spacing w:after="0" w:line="276" w:lineRule="auto"/>
        <w:ind w:left="709" w:hanging="43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zdanitelné stavby a zdanitelné jednotky pro podnikání v průmyslu, stavebnictví, dopravě,</w:t>
      </w:r>
    </w:p>
    <w:p w14:paraId="679C9220" w14:textId="77777777" w:rsidR="002F0489" w:rsidRDefault="002F0489" w:rsidP="002F048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energetice nebo ostatní zemědělské výrobě,</w:t>
      </w:r>
    </w:p>
    <w:p w14:paraId="7C9ECC88" w14:textId="77777777" w:rsidR="002F0489" w:rsidRDefault="002F0489" w:rsidP="002F0489">
      <w:pPr>
        <w:pStyle w:val="Odstavecseseznamem"/>
        <w:numPr>
          <w:ilvl w:val="0"/>
          <w:numId w:val="6"/>
        </w:numPr>
        <w:tabs>
          <w:tab w:val="left" w:pos="709"/>
        </w:tabs>
        <w:spacing w:after="0" w:line="276" w:lineRule="auto"/>
        <w:ind w:left="709" w:hanging="430"/>
        <w:contextualSpacing w:val="0"/>
        <w:rPr>
          <w:rFonts w:cs="Calibri"/>
          <w:color w:val="00B0F0"/>
          <w:sz w:val="24"/>
          <w:szCs w:val="24"/>
        </w:rPr>
      </w:pPr>
      <w:r>
        <w:rPr>
          <w:rFonts w:cs="Calibri"/>
          <w:sz w:val="24"/>
          <w:szCs w:val="24"/>
        </w:rPr>
        <w:t>zdanitelné stavby a zdanitelné jednotky pro ostatní druhy podnikání.</w:t>
      </w:r>
      <w:r>
        <w:rPr>
          <w:rFonts w:cs="Calibri"/>
          <w:color w:val="00B0F0"/>
          <w:sz w:val="24"/>
          <w:szCs w:val="24"/>
        </w:rPr>
        <w:tab/>
      </w:r>
      <w:r>
        <w:rPr>
          <w:rFonts w:cs="Calibri"/>
          <w:color w:val="00B0F0"/>
          <w:sz w:val="24"/>
          <w:szCs w:val="24"/>
        </w:rPr>
        <w:tab/>
      </w:r>
      <w:r>
        <w:rPr>
          <w:rFonts w:cs="Calibri"/>
          <w:color w:val="00B0F0"/>
          <w:sz w:val="24"/>
          <w:szCs w:val="24"/>
        </w:rPr>
        <w:tab/>
      </w:r>
      <w:r>
        <w:rPr>
          <w:rFonts w:cs="Calibri"/>
          <w:color w:val="00B0F0"/>
          <w:sz w:val="24"/>
          <w:szCs w:val="24"/>
        </w:rPr>
        <w:tab/>
      </w:r>
      <w:r>
        <w:rPr>
          <w:rFonts w:cs="Calibri"/>
          <w:color w:val="00B0F0"/>
          <w:sz w:val="24"/>
          <w:szCs w:val="24"/>
        </w:rPr>
        <w:tab/>
      </w:r>
    </w:p>
    <w:p w14:paraId="731987B9" w14:textId="77777777" w:rsidR="002F0489" w:rsidRDefault="002F0489" w:rsidP="00D26575">
      <w:pPr>
        <w:pStyle w:val="Odstavecseseznamem"/>
        <w:numPr>
          <w:ilvl w:val="0"/>
          <w:numId w:val="8"/>
        </w:numPr>
        <w:tabs>
          <w:tab w:val="left" w:pos="567"/>
        </w:tabs>
        <w:spacing w:after="360"/>
        <w:ind w:left="567" w:hanging="56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Místní koeficient pro jednotlivou skupinu nemovitých věcí se vztahuje na všechny nemovité věci dané skupiny nemovitých věcí na území celé obce Bílá Třemešná.</w:t>
      </w:r>
      <w:r>
        <w:rPr>
          <w:rFonts w:cs="Calibri"/>
          <w:sz w:val="24"/>
          <w:szCs w:val="24"/>
          <w:vertAlign w:val="superscript"/>
        </w:rPr>
        <w:footnoteReference w:id="1"/>
      </w:r>
    </w:p>
    <w:p w14:paraId="3578AA09" w14:textId="77777777" w:rsidR="00D26575" w:rsidRDefault="002F0489" w:rsidP="00D26575">
      <w:pPr>
        <w:keepNext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>
        <w:rPr>
          <w:rFonts w:ascii="Calibri" w:eastAsia="PingFang SC" w:hAnsi="Calibri" w:cs="Calibri"/>
          <w:b/>
          <w:bCs/>
          <w:sz w:val="28"/>
          <w:szCs w:val="28"/>
        </w:rPr>
        <w:t>Čl. 2</w:t>
      </w:r>
    </w:p>
    <w:p w14:paraId="711FEF69" w14:textId="77777777" w:rsidR="002F0489" w:rsidRDefault="002F0489" w:rsidP="00D26575">
      <w:pPr>
        <w:keepNext/>
        <w:spacing w:after="240"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>
        <w:rPr>
          <w:rFonts w:ascii="Calibri" w:eastAsia="PingFang SC" w:hAnsi="Calibri" w:cs="Calibri"/>
          <w:b/>
          <w:bCs/>
          <w:sz w:val="28"/>
          <w:szCs w:val="28"/>
        </w:rPr>
        <w:t>Zrušovací ustanovení</w:t>
      </w:r>
    </w:p>
    <w:p w14:paraId="71308EAB" w14:textId="77777777" w:rsidR="002F0489" w:rsidRDefault="002F0489" w:rsidP="00A74D1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obce Bílá Třemešná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</w:rPr>
        <w:t xml:space="preserve">č. </w:t>
      </w:r>
      <w:r w:rsidR="00E72EBF">
        <w:rPr>
          <w:rFonts w:ascii="Calibri" w:hAnsi="Calibri" w:cs="Calibri"/>
        </w:rPr>
        <w:t>2</w:t>
      </w:r>
      <w:r>
        <w:rPr>
          <w:rFonts w:ascii="Calibri" w:hAnsi="Calibri" w:cs="Calibri"/>
        </w:rPr>
        <w:t>/</w:t>
      </w:r>
      <w:r w:rsidR="00D26575">
        <w:rPr>
          <w:rFonts w:ascii="Calibri" w:hAnsi="Calibri" w:cs="Calibri"/>
        </w:rPr>
        <w:t>2022</w:t>
      </w:r>
      <w:r w:rsidR="00E72EB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26575">
        <w:rPr>
          <w:rFonts w:ascii="Calibri" w:hAnsi="Calibri" w:cs="Calibri"/>
        </w:rPr>
        <w:t>o stanovení koeficientu pro výpočet daně z nemovitých věcí</w:t>
      </w:r>
      <w:r>
        <w:rPr>
          <w:rFonts w:ascii="Calibri" w:hAnsi="Calibri" w:cs="Calibri"/>
        </w:rPr>
        <w:t xml:space="preserve">, ze dne </w:t>
      </w:r>
      <w:r w:rsidR="00D26575">
        <w:rPr>
          <w:rFonts w:ascii="Calibri" w:hAnsi="Calibri" w:cs="Calibri"/>
        </w:rPr>
        <w:t>12.09.2022</w:t>
      </w:r>
      <w:r>
        <w:rPr>
          <w:rFonts w:ascii="Calibri" w:hAnsi="Calibri" w:cs="Calibri"/>
        </w:rPr>
        <w:t>.</w:t>
      </w:r>
    </w:p>
    <w:p w14:paraId="6EDE3C51" w14:textId="77777777" w:rsidR="002F0489" w:rsidRDefault="002F0489" w:rsidP="00D26575">
      <w:pPr>
        <w:pStyle w:val="Odstavecseseznamem"/>
        <w:tabs>
          <w:tab w:val="left" w:pos="567"/>
        </w:tabs>
        <w:spacing w:line="276" w:lineRule="auto"/>
        <w:ind w:left="567"/>
        <w:contextualSpacing w:val="0"/>
        <w:rPr>
          <w:rFonts w:cs="Calibri"/>
        </w:rPr>
      </w:pPr>
    </w:p>
    <w:p w14:paraId="5EBCD58D" w14:textId="77777777" w:rsidR="005046D4" w:rsidRDefault="00000000" w:rsidP="00D26575">
      <w:pPr>
        <w:keepNext/>
        <w:spacing w:after="240"/>
        <w:jc w:val="center"/>
        <w:rPr>
          <w:rFonts w:ascii="Calibri" w:eastAsia="PingFang SC" w:hAnsi="Calibri" w:cs="Calibri"/>
          <w:b/>
          <w:bCs/>
          <w:sz w:val="28"/>
          <w:szCs w:val="28"/>
        </w:rPr>
      </w:pPr>
      <w:r>
        <w:rPr>
          <w:rFonts w:ascii="Calibri" w:eastAsia="PingFang SC" w:hAnsi="Calibri" w:cs="Calibri"/>
          <w:b/>
          <w:bCs/>
          <w:sz w:val="28"/>
          <w:szCs w:val="28"/>
        </w:rPr>
        <w:lastRenderedPageBreak/>
        <w:t xml:space="preserve">Čl. </w:t>
      </w:r>
      <w:r w:rsidR="00A74D16">
        <w:rPr>
          <w:rFonts w:ascii="Calibri" w:eastAsia="PingFang SC" w:hAnsi="Calibri" w:cs="Calibri"/>
          <w:b/>
          <w:bCs/>
          <w:sz w:val="28"/>
          <w:szCs w:val="28"/>
        </w:rPr>
        <w:t>3</w:t>
      </w:r>
      <w:r>
        <w:rPr>
          <w:rFonts w:ascii="Calibri" w:eastAsia="PingFang SC" w:hAnsi="Calibri" w:cs="Calibri"/>
          <w:b/>
          <w:bCs/>
          <w:sz w:val="28"/>
          <w:szCs w:val="28"/>
        </w:rPr>
        <w:br/>
        <w:t>Účinnost</w:t>
      </w:r>
    </w:p>
    <w:p w14:paraId="0D59723E" w14:textId="77777777" w:rsidR="005046D4" w:rsidRDefault="00000000" w:rsidP="00D26575">
      <w:pPr>
        <w:spacing w:line="276" w:lineRule="auto"/>
        <w:ind w:left="42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</w:t>
      </w:r>
      <w:r w:rsidR="00A74D16">
        <w:rPr>
          <w:rFonts w:ascii="Calibri" w:hAnsi="Calibri" w:cs="Calibri"/>
        </w:rPr>
        <w:t xml:space="preserve">obecně závazná </w:t>
      </w:r>
      <w:r>
        <w:rPr>
          <w:rFonts w:ascii="Calibri" w:hAnsi="Calibri" w:cs="Calibri"/>
        </w:rPr>
        <w:t>vyhláška nabývá účinnosti dnem 1. ledna 202</w:t>
      </w:r>
      <w:r w:rsidR="00D26575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3B807D34" w14:textId="77777777" w:rsidR="00903B26" w:rsidRDefault="00903B26">
      <w:pPr>
        <w:pStyle w:val="Odstavec"/>
        <w:rPr>
          <w:rFonts w:ascii="Calibri" w:hAnsi="Calibri" w:cs="Calibri"/>
        </w:rPr>
      </w:pPr>
    </w:p>
    <w:p w14:paraId="4B501512" w14:textId="77777777" w:rsidR="00903B26" w:rsidRDefault="00903B26">
      <w:pPr>
        <w:pStyle w:val="Odstavec"/>
        <w:rPr>
          <w:rFonts w:ascii="Calibri" w:hAnsi="Calibri" w:cs="Calibri"/>
        </w:rPr>
      </w:pPr>
    </w:p>
    <w:p w14:paraId="5A4543EE" w14:textId="77777777" w:rsidR="00903B26" w:rsidRDefault="00903B26">
      <w:pPr>
        <w:pStyle w:val="Odstavec"/>
        <w:rPr>
          <w:rFonts w:ascii="Calibri" w:hAnsi="Calibri" w:cs="Calibri"/>
        </w:rPr>
      </w:pPr>
    </w:p>
    <w:p w14:paraId="2E4BECFC" w14:textId="77777777" w:rsidR="00903B26" w:rsidRDefault="00903B26">
      <w:pPr>
        <w:pStyle w:val="Odstavec"/>
        <w:rPr>
          <w:rFonts w:ascii="Calibri" w:hAnsi="Calibri" w:cs="Calibri"/>
        </w:rPr>
      </w:pPr>
    </w:p>
    <w:p w14:paraId="31CF4C20" w14:textId="77777777" w:rsidR="00903B26" w:rsidRDefault="00903B26">
      <w:pPr>
        <w:pStyle w:val="Odstavec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046D4" w14:paraId="55E4DEA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83386" w14:textId="77777777" w:rsidR="005046D4" w:rsidRDefault="00000000" w:rsidP="00903B26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Bc. Štěpán Čeněk</w:t>
            </w:r>
            <w:r w:rsidR="00954E1A">
              <w:rPr>
                <w:rFonts w:ascii="Calibri" w:hAnsi="Calibri" w:cs="Calibri"/>
                <w:sz w:val="24"/>
                <w:szCs w:val="24"/>
              </w:rPr>
              <w:t>,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D9BF4" w14:textId="77777777" w:rsidR="005046D4" w:rsidRDefault="00000000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Bc. Petra Zivrová</w:t>
            </w:r>
            <w:r w:rsidR="00954E1A">
              <w:rPr>
                <w:rFonts w:ascii="Calibri" w:hAnsi="Calibri" w:cs="Calibri"/>
                <w:sz w:val="24"/>
                <w:szCs w:val="24"/>
              </w:rPr>
              <w:t>, v. r.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místostarostka</w:t>
            </w:r>
          </w:p>
        </w:tc>
      </w:tr>
      <w:tr w:rsidR="005046D4" w14:paraId="3CC9579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E3536" w14:textId="77777777" w:rsidR="005046D4" w:rsidRDefault="005046D4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C2738" w14:textId="77777777" w:rsidR="005046D4" w:rsidRDefault="005046D4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3318024" w14:textId="77777777" w:rsidR="007A2BA0" w:rsidRDefault="007A2BA0">
      <w:pPr>
        <w:rPr>
          <w:rFonts w:ascii="Calibri" w:hAnsi="Calibri" w:cs="Calibri"/>
        </w:rPr>
      </w:pPr>
    </w:p>
    <w:sectPr w:rsidR="007A2BA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63C8E" w14:textId="77777777" w:rsidR="006A6614" w:rsidRDefault="006A6614">
      <w:r>
        <w:separator/>
      </w:r>
    </w:p>
  </w:endnote>
  <w:endnote w:type="continuationSeparator" w:id="0">
    <w:p w14:paraId="68A18BDA" w14:textId="77777777" w:rsidR="006A6614" w:rsidRDefault="006A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4D5D0" w14:textId="77777777" w:rsidR="006A6614" w:rsidRDefault="006A6614">
      <w:r>
        <w:rPr>
          <w:color w:val="000000"/>
        </w:rPr>
        <w:separator/>
      </w:r>
    </w:p>
  </w:footnote>
  <w:footnote w:type="continuationSeparator" w:id="0">
    <w:p w14:paraId="2B25DF2F" w14:textId="77777777" w:rsidR="006A6614" w:rsidRDefault="006A6614">
      <w:r>
        <w:continuationSeparator/>
      </w:r>
    </w:p>
  </w:footnote>
  <w:footnote w:id="1">
    <w:p w14:paraId="60D1E31A" w14:textId="77777777" w:rsidR="002F0489" w:rsidRPr="00964558" w:rsidRDefault="002F0489" w:rsidP="002F048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A96ECD"/>
    <w:multiLevelType w:val="hybridMultilevel"/>
    <w:tmpl w:val="DBCCD88A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B5218AD"/>
    <w:multiLevelType w:val="multilevel"/>
    <w:tmpl w:val="B23086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59F30D9"/>
    <w:multiLevelType w:val="hybridMultilevel"/>
    <w:tmpl w:val="6C9E69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83526"/>
    <w:multiLevelType w:val="hybridMultilevel"/>
    <w:tmpl w:val="3E849FB2"/>
    <w:lvl w:ilvl="0" w:tplc="FD30D91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A5959"/>
    <w:multiLevelType w:val="hybridMultilevel"/>
    <w:tmpl w:val="DC5AF938"/>
    <w:lvl w:ilvl="0" w:tplc="633093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6223">
    <w:abstractNumId w:val="2"/>
  </w:num>
  <w:num w:numId="2" w16cid:durableId="480266920">
    <w:abstractNumId w:val="2"/>
    <w:lvlOverride w:ilvl="0">
      <w:startOverride w:val="1"/>
    </w:lvlOverride>
  </w:num>
  <w:num w:numId="3" w16cid:durableId="1305507050">
    <w:abstractNumId w:val="2"/>
    <w:lvlOverride w:ilvl="0">
      <w:startOverride w:val="1"/>
    </w:lvlOverride>
  </w:num>
  <w:num w:numId="4" w16cid:durableId="2009557828">
    <w:abstractNumId w:val="2"/>
    <w:lvlOverride w:ilvl="0">
      <w:startOverride w:val="1"/>
    </w:lvlOverride>
  </w:num>
  <w:num w:numId="5" w16cid:durableId="1316954028">
    <w:abstractNumId w:val="0"/>
  </w:num>
  <w:num w:numId="6" w16cid:durableId="789661932">
    <w:abstractNumId w:val="5"/>
  </w:num>
  <w:num w:numId="7" w16cid:durableId="1221404265">
    <w:abstractNumId w:val="3"/>
  </w:num>
  <w:num w:numId="8" w16cid:durableId="1082410679">
    <w:abstractNumId w:val="1"/>
  </w:num>
  <w:num w:numId="9" w16cid:durableId="641614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D4"/>
    <w:rsid w:val="00183F07"/>
    <w:rsid w:val="001A51C5"/>
    <w:rsid w:val="001D4198"/>
    <w:rsid w:val="002478BF"/>
    <w:rsid w:val="002F0489"/>
    <w:rsid w:val="00487494"/>
    <w:rsid w:val="005046D4"/>
    <w:rsid w:val="00563AE7"/>
    <w:rsid w:val="006831DC"/>
    <w:rsid w:val="006A6614"/>
    <w:rsid w:val="006F04EF"/>
    <w:rsid w:val="00716301"/>
    <w:rsid w:val="007970BC"/>
    <w:rsid w:val="007A2BA0"/>
    <w:rsid w:val="00903B26"/>
    <w:rsid w:val="00954E1A"/>
    <w:rsid w:val="00A74D16"/>
    <w:rsid w:val="00C04685"/>
    <w:rsid w:val="00D26575"/>
    <w:rsid w:val="00D9624A"/>
    <w:rsid w:val="00DF5869"/>
    <w:rsid w:val="00E71D3C"/>
    <w:rsid w:val="00E72EBF"/>
    <w:rsid w:val="00FA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3FCB"/>
  <w15:docId w15:val="{2386F899-6CFD-4A2C-9061-7F42DA14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0489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0489"/>
    <w:pPr>
      <w:suppressAutoHyphens w:val="0"/>
      <w:autoSpaceDN/>
      <w:jc w:val="both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link w:val="Textpoznpodarou"/>
    <w:uiPriority w:val="99"/>
    <w:semiHidden/>
    <w:rsid w:val="002F048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Bila_tremesna_znak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Obecně závazná vyhláška obce Bílá Třemešná o stanovení koeficientu pro výpočet d</vt:lpstr>
    </vt:vector>
  </TitlesOfParts>
  <Company/>
  <LinksUpToDate>false</LinksUpToDate>
  <CharactersWithSpaces>1763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https://commons.wikimedia.org/wiki/File:Bila_tremesna_znak.jpeg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cp:lastModifiedBy>Obec Bílá Třemešná</cp:lastModifiedBy>
  <cp:revision>2</cp:revision>
  <cp:lastPrinted>2024-07-15T07:41:00Z</cp:lastPrinted>
  <dcterms:created xsi:type="dcterms:W3CDTF">2024-07-25T10:56:00Z</dcterms:created>
  <dcterms:modified xsi:type="dcterms:W3CDTF">2024-07-25T10:56:00Z</dcterms:modified>
</cp:coreProperties>
</file>