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8CD" w:rsidRPr="00A338CD" w:rsidRDefault="00A338CD" w:rsidP="00A338CD">
      <w:pPr>
        <w:jc w:val="center"/>
        <w:rPr>
          <w:b/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Město Valašské Meziříčí vydává</w:t>
      </w:r>
    </w:p>
    <w:p w:rsidR="00A338CD" w:rsidRPr="00A338CD" w:rsidRDefault="00A338CD" w:rsidP="00A338CD">
      <w:pPr>
        <w:jc w:val="center"/>
        <w:rPr>
          <w:b/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Nařízení města č. 1/2012</w:t>
      </w:r>
    </w:p>
    <w:p w:rsidR="00A338CD" w:rsidRPr="00A338CD" w:rsidRDefault="00A338CD" w:rsidP="00A338CD">
      <w:pPr>
        <w:rPr>
          <w:b/>
          <w:sz w:val="20"/>
          <w:szCs w:val="19"/>
          <w:lang w:val="cs-CZ"/>
        </w:rPr>
      </w:pPr>
    </w:p>
    <w:p w:rsidR="00A338CD" w:rsidRPr="00A338CD" w:rsidRDefault="00A338CD" w:rsidP="00A338CD">
      <w:pPr>
        <w:jc w:val="center"/>
        <w:rPr>
          <w:b/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kterým se stanoví maximální cena za přiložení a odstranění technických prostředků k zabránění odjezdu vozidla</w:t>
      </w:r>
    </w:p>
    <w:p w:rsidR="00A338CD" w:rsidRPr="00A338CD" w:rsidRDefault="00A338CD" w:rsidP="00A338CD">
      <w:pPr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  <w:sectPr w:rsidR="00A338CD" w:rsidRPr="00A338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 xml:space="preserve">Rada města Valašské Meziříčí se na svém zasedaní dne 3. 4. 2012, usnesením  č.  R 31/54 usnesla vydat na základě </w:t>
      </w:r>
      <w:r w:rsidRPr="00503152">
        <w:rPr>
          <w:sz w:val="20"/>
          <w:szCs w:val="19"/>
          <w:u w:val="single"/>
          <w:lang w:val="cs-CZ"/>
        </w:rPr>
        <w:t>§ 4a odst. 1 písm. a) zákona c. 265/1991 Sb.</w:t>
      </w:r>
      <w:r w:rsidRPr="00A338CD">
        <w:rPr>
          <w:sz w:val="20"/>
          <w:szCs w:val="19"/>
          <w:lang w:val="cs-CZ"/>
        </w:rPr>
        <w:t>, o působnosti orgánů České r</w:t>
      </w:r>
      <w:r w:rsidR="00DF7CC5">
        <w:rPr>
          <w:sz w:val="20"/>
          <w:szCs w:val="19"/>
          <w:lang w:val="cs-CZ"/>
        </w:rPr>
        <w:t>epubliky v oblasti cen, ve znění</w:t>
      </w:r>
      <w:r w:rsidRPr="00A338CD">
        <w:rPr>
          <w:sz w:val="20"/>
          <w:szCs w:val="19"/>
          <w:lang w:val="cs-CZ"/>
        </w:rPr>
        <w:t xml:space="preserve"> pozdějších předpisů, v souladu s Výmě</w:t>
      </w:r>
      <w:r w:rsidR="00DF7CC5">
        <w:rPr>
          <w:sz w:val="20"/>
          <w:szCs w:val="19"/>
          <w:lang w:val="cs-CZ"/>
        </w:rPr>
        <w:t>rem Ministerstva financí</w:t>
      </w:r>
      <w:r w:rsidRPr="00A338CD">
        <w:rPr>
          <w:sz w:val="20"/>
          <w:szCs w:val="19"/>
          <w:lang w:val="cs-CZ"/>
        </w:rPr>
        <w:t xml:space="preserve"> č. 01/2012 ze dne 28. 11. 2011, kterým se vydává seznam zboží s regulovanými cenami a v souladu s </w:t>
      </w:r>
      <w:r w:rsidRPr="00503152">
        <w:rPr>
          <w:sz w:val="20"/>
          <w:szCs w:val="19"/>
          <w:u w:val="single"/>
          <w:lang w:val="cs-CZ"/>
        </w:rPr>
        <w:t>§ 11</w:t>
      </w:r>
      <w:r w:rsidRPr="00A338CD">
        <w:rPr>
          <w:sz w:val="20"/>
          <w:szCs w:val="19"/>
          <w:lang w:val="cs-CZ"/>
        </w:rPr>
        <w:t xml:space="preserve"> a </w:t>
      </w:r>
      <w:r w:rsidRPr="00503152">
        <w:rPr>
          <w:sz w:val="20"/>
          <w:szCs w:val="19"/>
          <w:u w:val="single"/>
          <w:lang w:val="cs-CZ"/>
        </w:rPr>
        <w:t>§ 102 odst. 2 písm. d) zákona</w:t>
      </w:r>
      <w:r w:rsidR="00503152" w:rsidRPr="00503152">
        <w:rPr>
          <w:sz w:val="20"/>
          <w:szCs w:val="19"/>
          <w:u w:val="single"/>
          <w:lang w:val="cs-CZ"/>
        </w:rPr>
        <w:t xml:space="preserve"> č</w:t>
      </w:r>
      <w:r w:rsidRPr="00503152">
        <w:rPr>
          <w:sz w:val="20"/>
          <w:szCs w:val="19"/>
          <w:u w:val="single"/>
          <w:lang w:val="cs-CZ"/>
        </w:rPr>
        <w:t>. 128/2000 Sb.</w:t>
      </w:r>
      <w:r w:rsidRPr="00A338CD">
        <w:rPr>
          <w:sz w:val="20"/>
          <w:szCs w:val="19"/>
          <w:lang w:val="cs-CZ"/>
        </w:rPr>
        <w:t>, o obcích</w:t>
      </w:r>
      <w:r w:rsidR="00C85116">
        <w:rPr>
          <w:sz w:val="20"/>
          <w:szCs w:val="19"/>
          <w:lang w:val="cs-CZ"/>
        </w:rPr>
        <w:t xml:space="preserve"> (obecní</w:t>
      </w:r>
      <w:r w:rsidRPr="00A338CD">
        <w:rPr>
          <w:sz w:val="20"/>
          <w:szCs w:val="19"/>
          <w:lang w:val="cs-CZ"/>
        </w:rPr>
        <w:t xml:space="preserve"> z</w:t>
      </w:r>
      <w:r w:rsidR="00C85116">
        <w:rPr>
          <w:sz w:val="20"/>
          <w:szCs w:val="19"/>
          <w:lang w:val="cs-CZ"/>
        </w:rPr>
        <w:t>řízení</w:t>
      </w:r>
      <w:r w:rsidRPr="00A338CD">
        <w:rPr>
          <w:sz w:val="20"/>
          <w:szCs w:val="19"/>
          <w:lang w:val="cs-CZ"/>
        </w:rPr>
        <w:t>), ve znění pozdějších předpisů toto nařízení: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center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Čl. 1</w:t>
      </w:r>
    </w:p>
    <w:p w:rsidR="00A338CD" w:rsidRPr="00A338CD" w:rsidRDefault="00A338CD" w:rsidP="00A338CD">
      <w:pPr>
        <w:jc w:val="center"/>
        <w:rPr>
          <w:b/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Předmět úpravy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Tímto nařízením se stanovuje maximální cena za přiložení a odstranění technických prostředků k zabránění odjezdu vozidla na území města Valašské Meziříčí.</w:t>
      </w:r>
    </w:p>
    <w:p w:rsidR="00A338CD" w:rsidRPr="00A338CD" w:rsidRDefault="00A338CD" w:rsidP="00A338CD">
      <w:pPr>
        <w:jc w:val="center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center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Čl. 2</w:t>
      </w:r>
    </w:p>
    <w:p w:rsidR="00A338CD" w:rsidRPr="00A338CD" w:rsidRDefault="00A338CD" w:rsidP="00A338CD">
      <w:pPr>
        <w:jc w:val="center"/>
        <w:rPr>
          <w:b/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Výše maximální ceny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Maximální cena za přiložení a odstranění technických prostředků k zabránění odjezdu vozidla se stanoví ve výši 500 Kč (slovy pětisetkorun českých).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center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Čl. 3</w:t>
      </w:r>
    </w:p>
    <w:p w:rsidR="00A338CD" w:rsidRPr="00A338CD" w:rsidRDefault="00A338CD" w:rsidP="00A338CD">
      <w:pPr>
        <w:jc w:val="center"/>
        <w:rPr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Všeobecné podmínky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  <w:r w:rsidRPr="00A338CD">
        <w:rPr>
          <w:noProof/>
          <w:sz w:val="20"/>
          <w:szCs w:val="19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624205</wp:posOffset>
                </wp:positionV>
                <wp:extent cx="38100" cy="92710"/>
                <wp:effectExtent l="0" t="4445" r="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9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CD" w:rsidRDefault="00A338CD" w:rsidP="00A338CD">
                            <w:pPr>
                              <w:spacing w:line="145" w:lineRule="exact"/>
                              <w:rPr>
                                <w:sz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62pt;margin-top:49.15pt;width:3pt;height:7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" filled="f" stroked="f">
                <v:textbox inset="0,0,0,0">
                  <w:txbxContent>
                    <w:p w:rsidR="00A338CD" w:rsidRDefault="00A338CD" w:rsidP="00A338CD">
                      <w:pPr>
                        <w:spacing w:line="145" w:lineRule="exact"/>
                        <w:rPr>
                          <w:sz w:val="13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338CD">
        <w:rPr>
          <w:sz w:val="20"/>
          <w:szCs w:val="19"/>
          <w:lang w:val="cs-CZ"/>
        </w:rPr>
        <w:t>(1) Stanovená maximální cena je závazná na území města Valašské Meziříčí pro všechny subjekty, jimž je umožněno používat výše uvedených technických prostředků podle zvláštních předpisů</w:t>
      </w:r>
      <w:r w:rsidR="00DF7CC5">
        <w:rPr>
          <w:sz w:val="20"/>
          <w:szCs w:val="19"/>
          <w:lang w:val="cs-CZ"/>
        </w:rPr>
        <w:t>.</w:t>
      </w:r>
      <w:bookmarkStart w:id="0" w:name="_GoBack"/>
      <w:bookmarkEnd w:id="0"/>
      <w:r w:rsidRPr="00503152">
        <w:rPr>
          <w:sz w:val="20"/>
          <w:szCs w:val="19"/>
          <w:vertAlign w:val="superscript"/>
          <w:lang w:val="cs-CZ"/>
        </w:rPr>
        <w:footnoteReference w:id="1"/>
      </w: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>
        <w:rPr>
          <w:sz w:val="20"/>
          <w:szCs w:val="19"/>
          <w:lang w:val="cs-CZ"/>
        </w:rPr>
        <w:t>(</w:t>
      </w:r>
      <w:r w:rsidRPr="00A338CD">
        <w:rPr>
          <w:sz w:val="20"/>
          <w:szCs w:val="19"/>
          <w:lang w:val="cs-CZ"/>
        </w:rPr>
        <w:t xml:space="preserve">2) Maximální cenou se rozumí cena včetně daně z přidané hodnoty. 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>
        <w:rPr>
          <w:sz w:val="20"/>
          <w:szCs w:val="19"/>
          <w:lang w:val="cs-CZ"/>
        </w:rPr>
        <w:t>(3</w:t>
      </w:r>
      <w:r w:rsidRPr="00A338CD">
        <w:rPr>
          <w:sz w:val="20"/>
          <w:szCs w:val="19"/>
          <w:lang w:val="cs-CZ"/>
        </w:rPr>
        <w:t>) Maximální cena za přiložení a odstranění technických prostředků k zabránění odjezdu vozidla zahrnuje jízdní výkon vozidla přepravujícího technické prostředky na místo a zpět, přiložení technického prostředku k zabránění odjezdu vozidla, pořízení písemného záznamu a fotodokumentace o stavu a o zablokování vozidla, montáž a demontáž technického prostředku a vystavení potvrzení o provedeném úkonu a jeho ceně.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>
        <w:rPr>
          <w:sz w:val="20"/>
          <w:szCs w:val="19"/>
          <w:lang w:val="cs-CZ"/>
        </w:rPr>
        <w:t xml:space="preserve">(4) </w:t>
      </w:r>
      <w:r w:rsidRPr="00A338CD">
        <w:rPr>
          <w:sz w:val="20"/>
          <w:szCs w:val="19"/>
          <w:lang w:val="cs-CZ"/>
        </w:rPr>
        <w:t>Přiložení a odstraněni technických prostředků k zabránění odjezdu vozidla se provádí na náklady osoby, která vozidlo na místě ponechala a nelze-li ji zjistit, na náklady provozovatele vozidla.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center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Čl. 4</w:t>
      </w:r>
    </w:p>
    <w:p w:rsidR="00A338CD" w:rsidRPr="00A338CD" w:rsidRDefault="00A338CD" w:rsidP="00A338CD">
      <w:pPr>
        <w:jc w:val="center"/>
        <w:rPr>
          <w:b/>
          <w:sz w:val="20"/>
          <w:szCs w:val="19"/>
          <w:lang w:val="cs-CZ"/>
        </w:rPr>
      </w:pPr>
      <w:r w:rsidRPr="00A338CD">
        <w:rPr>
          <w:b/>
          <w:sz w:val="20"/>
          <w:szCs w:val="19"/>
          <w:lang w:val="cs-CZ"/>
        </w:rPr>
        <w:t>Účinnost</w:t>
      </w: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</w:pPr>
      <w:r w:rsidRPr="00A338CD">
        <w:rPr>
          <w:sz w:val="20"/>
          <w:szCs w:val="19"/>
          <w:lang w:val="cs-CZ"/>
        </w:rPr>
        <w:t>Toto nařízení  nabývá  účinnosti  dnem  1.  5. 2012.</w:t>
      </w: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27541E" w:rsidRDefault="0027541E" w:rsidP="00A338CD">
      <w:pPr>
        <w:jc w:val="both"/>
        <w:rPr>
          <w:sz w:val="20"/>
          <w:szCs w:val="19"/>
          <w:lang w:val="cs-CZ"/>
        </w:rPr>
      </w:pPr>
    </w:p>
    <w:p w:rsidR="00DF7CC5" w:rsidRDefault="00DF7CC5" w:rsidP="00A338CD">
      <w:pPr>
        <w:jc w:val="both"/>
        <w:rPr>
          <w:sz w:val="20"/>
          <w:szCs w:val="19"/>
          <w:lang w:val="cs-CZ"/>
        </w:rPr>
      </w:pPr>
    </w:p>
    <w:p w:rsidR="0027541E" w:rsidRDefault="007C64F3" w:rsidP="007C64F3">
      <w:pPr>
        <w:jc w:val="center"/>
        <w:rPr>
          <w:sz w:val="20"/>
          <w:szCs w:val="19"/>
          <w:lang w:val="cs-CZ"/>
        </w:rPr>
      </w:pPr>
      <w:r>
        <w:rPr>
          <w:sz w:val="20"/>
          <w:szCs w:val="19"/>
          <w:lang w:val="cs-CZ"/>
        </w:rPr>
        <w:t>&lt;otisk úředního razítka&gt;</w:t>
      </w: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DF7CC5" w:rsidRDefault="00DF7CC5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  <w:r>
        <w:rPr>
          <w:sz w:val="20"/>
          <w:szCs w:val="19"/>
          <w:lang w:val="cs-CZ"/>
        </w:rPr>
        <w:t>……………</w:t>
      </w:r>
      <w:r w:rsidR="00265E2F">
        <w:rPr>
          <w:sz w:val="20"/>
          <w:szCs w:val="19"/>
          <w:lang w:val="cs-CZ"/>
        </w:rPr>
        <w:t>….</w:t>
      </w:r>
      <w:r>
        <w:rPr>
          <w:sz w:val="20"/>
          <w:szCs w:val="19"/>
          <w:lang w:val="cs-CZ"/>
        </w:rPr>
        <w:t>………</w:t>
      </w:r>
      <w:r w:rsidR="00265E2F">
        <w:rPr>
          <w:sz w:val="20"/>
          <w:szCs w:val="19"/>
          <w:lang w:val="cs-CZ"/>
        </w:rPr>
        <w:tab/>
        <w:t>….</w:t>
      </w:r>
      <w:r>
        <w:rPr>
          <w:sz w:val="20"/>
          <w:szCs w:val="19"/>
          <w:lang w:val="cs-CZ"/>
        </w:rPr>
        <w:t>……………………</w:t>
      </w:r>
    </w:p>
    <w:p w:rsidR="00A338CD" w:rsidRDefault="00A338CD" w:rsidP="00A338CD">
      <w:pPr>
        <w:jc w:val="both"/>
        <w:rPr>
          <w:sz w:val="20"/>
          <w:szCs w:val="19"/>
          <w:lang w:val="cs-CZ"/>
        </w:rPr>
      </w:pPr>
      <w:r>
        <w:rPr>
          <w:sz w:val="20"/>
          <w:szCs w:val="19"/>
          <w:lang w:val="cs-CZ"/>
        </w:rPr>
        <w:t>Mgr. Jiří Pernický</w:t>
      </w:r>
      <w:r w:rsidR="007C64F3">
        <w:rPr>
          <w:sz w:val="20"/>
          <w:szCs w:val="19"/>
          <w:lang w:val="cs-CZ"/>
        </w:rPr>
        <w:t xml:space="preserve"> </w:t>
      </w:r>
      <w:proofErr w:type="gramStart"/>
      <w:r w:rsidR="007C64F3">
        <w:rPr>
          <w:sz w:val="20"/>
          <w:szCs w:val="19"/>
          <w:lang w:val="cs-CZ"/>
        </w:rPr>
        <w:t>v.r.</w:t>
      </w:r>
      <w:proofErr w:type="gramEnd"/>
      <w:r>
        <w:rPr>
          <w:sz w:val="20"/>
          <w:szCs w:val="19"/>
          <w:lang w:val="cs-CZ"/>
        </w:rPr>
        <w:tab/>
        <w:t xml:space="preserve">    Jiří Částečka</w:t>
      </w:r>
      <w:r w:rsidR="007C64F3">
        <w:rPr>
          <w:sz w:val="20"/>
          <w:szCs w:val="19"/>
          <w:lang w:val="cs-CZ"/>
        </w:rPr>
        <w:t xml:space="preserve"> </w:t>
      </w:r>
      <w:proofErr w:type="gramStart"/>
      <w:r w:rsidR="007C64F3">
        <w:rPr>
          <w:sz w:val="20"/>
          <w:szCs w:val="19"/>
          <w:lang w:val="cs-CZ"/>
        </w:rPr>
        <w:t>v.r.</w:t>
      </w:r>
      <w:proofErr w:type="gramEnd"/>
    </w:p>
    <w:p w:rsidR="0027541E" w:rsidRDefault="00A338CD" w:rsidP="00A338CD">
      <w:pPr>
        <w:jc w:val="both"/>
        <w:rPr>
          <w:sz w:val="20"/>
          <w:szCs w:val="19"/>
          <w:lang w:val="cs-CZ"/>
        </w:rPr>
        <w:sectPr w:rsidR="0027541E" w:rsidSect="00A338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  <w15:footnoteColumns w:val="1"/>
        </w:sectPr>
      </w:pPr>
      <w:r>
        <w:rPr>
          <w:sz w:val="20"/>
          <w:szCs w:val="19"/>
          <w:lang w:val="cs-CZ"/>
        </w:rPr>
        <w:t xml:space="preserve">  </w:t>
      </w:r>
      <w:r w:rsidR="00265E2F">
        <w:rPr>
          <w:sz w:val="20"/>
          <w:szCs w:val="19"/>
          <w:lang w:val="cs-CZ"/>
        </w:rPr>
        <w:t>m</w:t>
      </w:r>
      <w:r>
        <w:rPr>
          <w:sz w:val="20"/>
          <w:szCs w:val="19"/>
          <w:lang w:val="cs-CZ"/>
        </w:rPr>
        <w:t>ístostarosta</w:t>
      </w:r>
      <w:r>
        <w:rPr>
          <w:sz w:val="20"/>
          <w:szCs w:val="19"/>
          <w:lang w:val="cs-CZ"/>
        </w:rPr>
        <w:tab/>
      </w:r>
      <w:r>
        <w:rPr>
          <w:sz w:val="20"/>
          <w:szCs w:val="19"/>
          <w:lang w:val="cs-CZ"/>
        </w:rPr>
        <w:tab/>
        <w:t xml:space="preserve">      starosta</w:t>
      </w: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27541E" w:rsidRDefault="0027541E" w:rsidP="00A338CD">
      <w:pPr>
        <w:jc w:val="both"/>
        <w:rPr>
          <w:sz w:val="20"/>
          <w:szCs w:val="19"/>
          <w:lang w:val="cs-CZ"/>
        </w:rPr>
        <w:sectPr w:rsidR="0027541E" w:rsidSect="00A338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Default="00A338CD" w:rsidP="00A338CD">
      <w:pPr>
        <w:jc w:val="both"/>
        <w:rPr>
          <w:sz w:val="20"/>
          <w:szCs w:val="19"/>
          <w:lang w:val="cs-CZ"/>
        </w:rPr>
      </w:pPr>
    </w:p>
    <w:p w:rsidR="00A338CD" w:rsidRPr="00A338CD" w:rsidRDefault="00A338CD" w:rsidP="00A338CD">
      <w:pPr>
        <w:jc w:val="both"/>
        <w:rPr>
          <w:sz w:val="20"/>
          <w:szCs w:val="19"/>
          <w:lang w:val="cs-CZ"/>
        </w:rPr>
        <w:sectPr w:rsidR="00A338CD" w:rsidRPr="00A338CD" w:rsidSect="00A338C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75D76" w:rsidRDefault="00075D76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Cs w:val="20"/>
          <w:lang w:val="cs-CZ"/>
        </w:rPr>
      </w:pPr>
    </w:p>
    <w:p w:rsidR="00CF2F2E" w:rsidRDefault="00CF2F2E" w:rsidP="00A338CD">
      <w:pPr>
        <w:tabs>
          <w:tab w:val="left" w:pos="1665"/>
        </w:tabs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 xml:space="preserve">Vyvěšeno na úřední desce dne: </w:t>
      </w:r>
      <w:r w:rsidR="001F13D0">
        <w:rPr>
          <w:sz w:val="20"/>
          <w:szCs w:val="20"/>
          <w:lang w:val="cs-CZ"/>
        </w:rPr>
        <w:t>11. 4. 2012</w:t>
      </w:r>
    </w:p>
    <w:p w:rsidR="001F13D0" w:rsidRPr="00CF2F2E" w:rsidRDefault="001F13D0" w:rsidP="00A338CD">
      <w:pPr>
        <w:tabs>
          <w:tab w:val="left" w:pos="1665"/>
        </w:tabs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Sejmuto z úřední desky dne: 30. 4. 2012</w:t>
      </w:r>
    </w:p>
    <w:sectPr w:rsidR="001F13D0" w:rsidRPr="00CF2F2E" w:rsidSect="00CF2F2E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11" w:rsidRDefault="00FF2411" w:rsidP="00A338CD">
      <w:r>
        <w:separator/>
      </w:r>
    </w:p>
  </w:endnote>
  <w:endnote w:type="continuationSeparator" w:id="0">
    <w:p w:rsidR="00FF2411" w:rsidRDefault="00FF2411" w:rsidP="00A3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11" w:rsidRDefault="00FF2411" w:rsidP="00A338CD">
      <w:r>
        <w:separator/>
      </w:r>
    </w:p>
  </w:footnote>
  <w:footnote w:type="continuationSeparator" w:id="0">
    <w:p w:rsidR="00FF2411" w:rsidRDefault="00FF2411" w:rsidP="00A338CD">
      <w:r>
        <w:continuationSeparator/>
      </w:r>
    </w:p>
  </w:footnote>
  <w:footnote w:id="1">
    <w:p w:rsidR="00A338CD" w:rsidRPr="00176D52" w:rsidRDefault="0027541E" w:rsidP="0027541E">
      <w:pPr>
        <w:pStyle w:val="Textpoznpodarou"/>
        <w:ind w:right="2722"/>
        <w:rPr>
          <w:lang w:val="cs-CZ"/>
        </w:rPr>
      </w:pPr>
      <w:r>
        <w:rPr>
          <w:rStyle w:val="Znakapoznpodarou"/>
        </w:rPr>
        <w:footnoteRef/>
      </w:r>
      <w:r w:rsidR="00A338CD" w:rsidRPr="00176D52">
        <w:rPr>
          <w:sz w:val="16"/>
          <w:lang w:val="cs-CZ"/>
        </w:rPr>
        <w:t xml:space="preserve"> </w:t>
      </w:r>
      <w:r w:rsidR="00A338CD" w:rsidRPr="00176D52">
        <w:rPr>
          <w:sz w:val="16"/>
          <w:u w:val="single"/>
          <w:lang w:val="cs-CZ"/>
        </w:rPr>
        <w:t>§ 36 zákona č. 273/2008 Sb.,</w:t>
      </w:r>
      <w:r w:rsidR="00A338CD" w:rsidRPr="00176D52">
        <w:rPr>
          <w:sz w:val="16"/>
          <w:lang w:val="cs-CZ"/>
        </w:rPr>
        <w:t xml:space="preserve"> o Policii České republiky, ve znění pozdějších předpisů, </w:t>
      </w:r>
      <w:r w:rsidR="00A338CD" w:rsidRPr="0027541E">
        <w:rPr>
          <w:sz w:val="16"/>
          <w:lang w:val="cs-CZ"/>
        </w:rPr>
        <w:t xml:space="preserve">a </w:t>
      </w:r>
      <w:r w:rsidR="00A338CD" w:rsidRPr="00176D52">
        <w:rPr>
          <w:sz w:val="16"/>
          <w:u w:val="single"/>
          <w:lang w:val="cs-CZ"/>
        </w:rPr>
        <w:t>§ 17a zákona č. 553/1991 Sb.,</w:t>
      </w:r>
      <w:r w:rsidR="00A338CD" w:rsidRPr="00176D52">
        <w:rPr>
          <w:sz w:val="16"/>
          <w:lang w:val="cs-CZ"/>
        </w:rPr>
        <w:t xml:space="preserve"> o obecní policii</w:t>
      </w:r>
      <w:r w:rsidR="00E11250">
        <w:rPr>
          <w:sz w:val="16"/>
          <w:lang w:val="cs-CZ"/>
        </w:rPr>
        <w:t>,</w:t>
      </w:r>
      <w:r w:rsidR="00A338CD" w:rsidRPr="00176D52">
        <w:rPr>
          <w:sz w:val="16"/>
          <w:lang w:val="cs-CZ"/>
        </w:rPr>
        <w:t xml:space="preserve">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4B8"/>
    <w:multiLevelType w:val="hybridMultilevel"/>
    <w:tmpl w:val="9EA6CB82"/>
    <w:lvl w:ilvl="0" w:tplc="B26A130E">
      <w:start w:val="3"/>
      <w:numFmt w:val="decimal"/>
      <w:lvlText w:val="(%1)"/>
      <w:lvlJc w:val="left"/>
      <w:pPr>
        <w:ind w:left="108" w:hanging="3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F1F1F"/>
        <w:spacing w:val="-1"/>
        <w:w w:val="110"/>
        <w:sz w:val="19"/>
        <w:szCs w:val="19"/>
      </w:rPr>
    </w:lvl>
    <w:lvl w:ilvl="1" w:tplc="51B62632">
      <w:numFmt w:val="bullet"/>
      <w:lvlText w:val="•"/>
      <w:lvlJc w:val="left"/>
      <w:pPr>
        <w:ind w:left="600" w:hanging="337"/>
      </w:pPr>
      <w:rPr>
        <w:rFonts w:hint="default"/>
      </w:rPr>
    </w:lvl>
    <w:lvl w:ilvl="2" w:tplc="D38C4C40">
      <w:numFmt w:val="bullet"/>
      <w:lvlText w:val="•"/>
      <w:lvlJc w:val="left"/>
      <w:pPr>
        <w:ind w:left="1100" w:hanging="337"/>
      </w:pPr>
      <w:rPr>
        <w:rFonts w:hint="default"/>
      </w:rPr>
    </w:lvl>
    <w:lvl w:ilvl="3" w:tplc="B56A4022">
      <w:numFmt w:val="bullet"/>
      <w:lvlText w:val="•"/>
      <w:lvlJc w:val="left"/>
      <w:pPr>
        <w:ind w:left="1600" w:hanging="337"/>
      </w:pPr>
      <w:rPr>
        <w:rFonts w:hint="default"/>
      </w:rPr>
    </w:lvl>
    <w:lvl w:ilvl="4" w:tplc="DC66CAE2">
      <w:numFmt w:val="bullet"/>
      <w:lvlText w:val="•"/>
      <w:lvlJc w:val="left"/>
      <w:pPr>
        <w:ind w:left="2100" w:hanging="337"/>
      </w:pPr>
      <w:rPr>
        <w:rFonts w:hint="default"/>
      </w:rPr>
    </w:lvl>
    <w:lvl w:ilvl="5" w:tplc="BF641970">
      <w:numFmt w:val="bullet"/>
      <w:lvlText w:val="•"/>
      <w:lvlJc w:val="left"/>
      <w:pPr>
        <w:ind w:left="2600" w:hanging="337"/>
      </w:pPr>
      <w:rPr>
        <w:rFonts w:hint="default"/>
      </w:rPr>
    </w:lvl>
    <w:lvl w:ilvl="6" w:tplc="61F8DD58">
      <w:numFmt w:val="bullet"/>
      <w:lvlText w:val="•"/>
      <w:lvlJc w:val="left"/>
      <w:pPr>
        <w:ind w:left="3100" w:hanging="337"/>
      </w:pPr>
      <w:rPr>
        <w:rFonts w:hint="default"/>
      </w:rPr>
    </w:lvl>
    <w:lvl w:ilvl="7" w:tplc="194AAAEC">
      <w:numFmt w:val="bullet"/>
      <w:lvlText w:val="•"/>
      <w:lvlJc w:val="left"/>
      <w:pPr>
        <w:ind w:left="3600" w:hanging="337"/>
      </w:pPr>
      <w:rPr>
        <w:rFonts w:hint="default"/>
      </w:rPr>
    </w:lvl>
    <w:lvl w:ilvl="8" w:tplc="BCA20E9E">
      <w:numFmt w:val="bullet"/>
      <w:lvlText w:val="•"/>
      <w:lvlJc w:val="left"/>
      <w:pPr>
        <w:ind w:left="4100" w:hanging="33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CD"/>
    <w:rsid w:val="00075D76"/>
    <w:rsid w:val="00176D52"/>
    <w:rsid w:val="001F13D0"/>
    <w:rsid w:val="001F560D"/>
    <w:rsid w:val="00265E2F"/>
    <w:rsid w:val="0027541E"/>
    <w:rsid w:val="00503152"/>
    <w:rsid w:val="007C64F3"/>
    <w:rsid w:val="00A338CD"/>
    <w:rsid w:val="00C13836"/>
    <w:rsid w:val="00C85116"/>
    <w:rsid w:val="00CF2F2E"/>
    <w:rsid w:val="00DF7CC5"/>
    <w:rsid w:val="00E11250"/>
    <w:rsid w:val="00FF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739AE"/>
  <w15:chartTrackingRefBased/>
  <w15:docId w15:val="{15BFAECA-691B-49AC-8F91-0BCB569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A338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A338CD"/>
    <w:pPr>
      <w:ind w:left="1159" w:right="1084"/>
      <w:jc w:val="center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link w:val="Nadpis2Char"/>
    <w:uiPriority w:val="1"/>
    <w:qFormat/>
    <w:rsid w:val="00A338CD"/>
    <w:pPr>
      <w:ind w:left="1159" w:right="1102"/>
      <w:jc w:val="center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A338CD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A338CD"/>
    <w:rPr>
      <w:rFonts w:ascii="Arial" w:eastAsia="Arial" w:hAnsi="Arial" w:cs="Arial"/>
      <w:b/>
      <w:bCs/>
      <w:sz w:val="19"/>
      <w:szCs w:val="19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A338CD"/>
    <w:rPr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338CD"/>
    <w:rPr>
      <w:rFonts w:ascii="Arial" w:eastAsia="Arial" w:hAnsi="Arial" w:cs="Arial"/>
      <w:sz w:val="19"/>
      <w:szCs w:val="19"/>
      <w:lang w:val="en-US"/>
    </w:rPr>
  </w:style>
  <w:style w:type="paragraph" w:styleId="Odstavecseseznamem">
    <w:name w:val="List Paragraph"/>
    <w:basedOn w:val="Normln"/>
    <w:uiPriority w:val="1"/>
    <w:qFormat/>
    <w:rsid w:val="00A338CD"/>
    <w:pPr>
      <w:ind w:left="108" w:right="789"/>
      <w:jc w:val="both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38C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38CD"/>
    <w:rPr>
      <w:rFonts w:ascii="Arial" w:eastAsia="Arial" w:hAnsi="Arial" w:cs="Arial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A338C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338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38CD"/>
    <w:rPr>
      <w:rFonts w:ascii="Arial" w:eastAsia="Arial" w:hAnsi="Arial" w:cs="Arial"/>
      <w:lang w:val="en-US"/>
    </w:rPr>
  </w:style>
  <w:style w:type="paragraph" w:styleId="Zhlav">
    <w:name w:val="header"/>
    <w:basedOn w:val="Normln"/>
    <w:link w:val="ZhlavChar"/>
    <w:uiPriority w:val="99"/>
    <w:unhideWhenUsed/>
    <w:rsid w:val="00A33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38CD"/>
    <w:rPr>
      <w:rFonts w:ascii="Arial" w:eastAsia="Arial" w:hAnsi="Arial" w:cs="Arial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1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116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38549-D1DF-40CA-9700-AA47BB010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Leskovjanová Irena, Mgr.</dc:creator>
  <cp:keywords/>
  <dc:description/>
  <cp:lastModifiedBy>Leskovjanová Irena, Mgr.</cp:lastModifiedBy>
  <cp:revision>13</cp:revision>
  <cp:lastPrinted>2022-01-10T12:53:00Z</cp:lastPrinted>
  <dcterms:created xsi:type="dcterms:W3CDTF">2022-01-10T12:41:00Z</dcterms:created>
  <dcterms:modified xsi:type="dcterms:W3CDTF">2022-01-18T08:08:00Z</dcterms:modified>
</cp:coreProperties>
</file>