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5A" w:rsidRPr="00F22792" w:rsidRDefault="007C285A">
      <w:pPr>
        <w:jc w:val="center"/>
        <w:rPr>
          <w:rFonts w:ascii="Arial" w:hAnsi="Arial"/>
          <w:b/>
          <w:bCs/>
        </w:rPr>
      </w:pPr>
      <w:bookmarkStart w:id="0" w:name="_GoBack"/>
      <w:bookmarkEnd w:id="0"/>
      <w:r w:rsidRPr="00F22792">
        <w:rPr>
          <w:rFonts w:ascii="Arial" w:hAnsi="Arial"/>
          <w:b/>
          <w:bCs/>
          <w:caps/>
        </w:rPr>
        <w:t>Město Velvary</w:t>
      </w:r>
    </w:p>
    <w:p w:rsidR="007C285A" w:rsidRDefault="007C285A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Cs/>
        </w:rPr>
        <w:t>Zastupitelstvo města Velvary</w:t>
      </w:r>
    </w:p>
    <w:p w:rsidR="007C285A" w:rsidRDefault="007C285A">
      <w:pPr>
        <w:jc w:val="center"/>
        <w:rPr>
          <w:rFonts w:ascii="Arial" w:hAnsi="Arial"/>
          <w:b/>
          <w:bCs/>
        </w:rPr>
      </w:pPr>
    </w:p>
    <w:p w:rsidR="007C285A" w:rsidRDefault="007C285A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Obecně závazná vyhláška</w:t>
      </w:r>
    </w:p>
    <w:p w:rsidR="007C285A" w:rsidRDefault="007C285A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 místním poplatku za obecní</w:t>
      </w:r>
      <w:r w:rsidR="00425ED7">
        <w:rPr>
          <w:rFonts w:ascii="Arial" w:hAnsi="Arial"/>
          <w:b/>
          <w:bCs/>
        </w:rPr>
        <w:t xml:space="preserve"> systém odpadového hospodářství</w:t>
      </w:r>
    </w:p>
    <w:p w:rsidR="007C285A" w:rsidRDefault="007C285A">
      <w:pPr>
        <w:jc w:val="center"/>
        <w:rPr>
          <w:rFonts w:ascii="Arial" w:hAnsi="Arial"/>
          <w:b/>
          <w:bCs/>
        </w:rPr>
      </w:pPr>
    </w:p>
    <w:p w:rsidR="007C285A" w:rsidRDefault="007C285A">
      <w:pPr>
        <w:jc w:val="both"/>
        <w:rPr>
          <w:rFonts w:ascii="Arial" w:hAnsi="Arial"/>
        </w:rPr>
      </w:pPr>
      <w:r>
        <w:rPr>
          <w:rFonts w:ascii="Arial" w:hAnsi="Arial"/>
        </w:rPr>
        <w:t>Zastupitelstvo města Velvary se na svém zasedání konaném dn</w:t>
      </w:r>
      <w:r>
        <w:rPr>
          <w:rFonts w:ascii="Arial" w:hAnsi="Arial"/>
          <w:shd w:val="clear" w:color="auto" w:fill="FFFFFF"/>
        </w:rPr>
        <w:t xml:space="preserve">e </w:t>
      </w:r>
      <w:r w:rsidR="00F22792">
        <w:rPr>
          <w:rFonts w:ascii="Arial" w:hAnsi="Arial"/>
          <w:shd w:val="clear" w:color="auto" w:fill="FFFFFF"/>
        </w:rPr>
        <w:t xml:space="preserve">18. 09. 2025 </w:t>
      </w:r>
      <w:r>
        <w:rPr>
          <w:rFonts w:ascii="Arial" w:hAnsi="Arial"/>
          <w:shd w:val="clear" w:color="auto" w:fill="FFFFFF"/>
        </w:rPr>
        <w:t xml:space="preserve">usnesením č. </w:t>
      </w:r>
      <w:r w:rsidR="00F22792">
        <w:rPr>
          <w:rFonts w:ascii="Arial" w:hAnsi="Arial"/>
          <w:shd w:val="clear" w:color="auto" w:fill="FFFFFF"/>
        </w:rPr>
        <w:t>5/2025</w:t>
      </w:r>
      <w:r>
        <w:rPr>
          <w:rFonts w:ascii="Arial" w:hAnsi="Arial"/>
          <w:shd w:val="clear" w:color="auto" w:fill="FFFFFF"/>
        </w:rPr>
        <w:t xml:space="preserve"> usneslo</w:t>
      </w:r>
      <w:r>
        <w:rPr>
          <w:rFonts w:ascii="Arial" w:hAnsi="Arial"/>
        </w:rPr>
        <w:t xml:space="preserve"> vydat na základě § 14 zákona č. 565/1990 Sb., o místních poplatcích, ve znění pozdějších předpisů (dále jen „zákon o místních poplatcích“) a v souladu s § 10 písm. d) a § 84 odst. 2 písm. h) zákona č. 128/2000 Sb., o obcích (obecní zřízení), ve znění pozdějších předpisů, tuto obecně závaznou vyhlášku (dále jen „vyhláška“):</w:t>
      </w:r>
    </w:p>
    <w:p w:rsidR="007C285A" w:rsidRDefault="007C285A">
      <w:pPr>
        <w:jc w:val="both"/>
        <w:rPr>
          <w:rFonts w:ascii="Arial" w:hAnsi="Arial"/>
        </w:rPr>
      </w:pPr>
    </w:p>
    <w:p w:rsidR="007C285A" w:rsidRDefault="007C285A">
      <w:pPr>
        <w:jc w:val="both"/>
        <w:rPr>
          <w:rFonts w:ascii="Arial" w:hAnsi="Arial"/>
        </w:rPr>
      </w:pPr>
    </w:p>
    <w:p w:rsidR="007C285A" w:rsidRDefault="007C285A">
      <w:pPr>
        <w:jc w:val="center"/>
        <w:rPr>
          <w:rFonts w:ascii="Arial" w:hAnsi="Arial"/>
          <w:b/>
        </w:rPr>
      </w:pPr>
      <w:r>
        <w:rPr>
          <w:rFonts w:ascii="Arial" w:hAnsi="Arial"/>
          <w:b/>
          <w:bCs/>
        </w:rPr>
        <w:t>Čl. 1</w:t>
      </w:r>
    </w:p>
    <w:p w:rsidR="007C285A" w:rsidRDefault="007C285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Úvodní ustanovení</w:t>
      </w:r>
    </w:p>
    <w:p w:rsidR="007C285A" w:rsidRDefault="007C285A">
      <w:pPr>
        <w:jc w:val="center"/>
        <w:rPr>
          <w:rFonts w:ascii="Arial" w:hAnsi="Arial"/>
          <w:b/>
        </w:rPr>
      </w:pPr>
    </w:p>
    <w:p w:rsidR="007C285A" w:rsidRDefault="007C285A" w:rsidP="00F22792">
      <w:pPr>
        <w:numPr>
          <w:ilvl w:val="0"/>
          <w:numId w:val="3"/>
        </w:numPr>
        <w:tabs>
          <w:tab w:val="clear" w:pos="720"/>
          <w:tab w:val="num" w:pos="0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Město Velvary touto vyhláškou zavádí místní poplatek za obecní systém odpadového hospodářství (dále jen „poplatek“).</w:t>
      </w:r>
    </w:p>
    <w:p w:rsidR="007C285A" w:rsidRDefault="007C285A" w:rsidP="00F22792">
      <w:pPr>
        <w:tabs>
          <w:tab w:val="num" w:pos="0"/>
        </w:tabs>
        <w:ind w:left="567" w:hanging="567"/>
        <w:jc w:val="both"/>
        <w:rPr>
          <w:rFonts w:ascii="Arial" w:hAnsi="Arial"/>
        </w:rPr>
      </w:pPr>
    </w:p>
    <w:p w:rsidR="007C285A" w:rsidRDefault="007C285A" w:rsidP="00F22792">
      <w:pPr>
        <w:numPr>
          <w:ilvl w:val="0"/>
          <w:numId w:val="2"/>
        </w:numPr>
        <w:tabs>
          <w:tab w:val="clear" w:pos="720"/>
          <w:tab w:val="num" w:pos="0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Poplatkovým obdobím je kalendářní rok.</w:t>
      </w:r>
      <w:r>
        <w:rPr>
          <w:rStyle w:val="Znakypropoznmkupodarou"/>
          <w:rFonts w:ascii="Arial" w:hAnsi="Arial"/>
        </w:rPr>
        <w:footnoteReference w:id="1"/>
      </w:r>
    </w:p>
    <w:p w:rsidR="007C285A" w:rsidRDefault="007C285A" w:rsidP="00F22792">
      <w:pPr>
        <w:tabs>
          <w:tab w:val="num" w:pos="0"/>
        </w:tabs>
        <w:ind w:left="567" w:hanging="567"/>
        <w:jc w:val="both"/>
        <w:rPr>
          <w:rFonts w:ascii="Arial" w:hAnsi="Arial"/>
        </w:rPr>
      </w:pPr>
    </w:p>
    <w:p w:rsidR="007C285A" w:rsidRDefault="007C285A" w:rsidP="00F22792">
      <w:pPr>
        <w:numPr>
          <w:ilvl w:val="0"/>
          <w:numId w:val="2"/>
        </w:numPr>
        <w:tabs>
          <w:tab w:val="clear" w:pos="720"/>
          <w:tab w:val="num" w:pos="0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Správcem poplatku je městský úřad.</w:t>
      </w:r>
      <w:r>
        <w:rPr>
          <w:rStyle w:val="Znakypropoznmkupodarou"/>
          <w:rFonts w:ascii="Arial" w:hAnsi="Arial"/>
        </w:rPr>
        <w:footnoteReference w:id="2"/>
      </w:r>
    </w:p>
    <w:p w:rsidR="007C285A" w:rsidRDefault="007C285A">
      <w:pPr>
        <w:jc w:val="both"/>
        <w:rPr>
          <w:rFonts w:ascii="Arial" w:hAnsi="Arial"/>
        </w:rPr>
      </w:pPr>
    </w:p>
    <w:p w:rsidR="007C285A" w:rsidRDefault="007C285A">
      <w:pPr>
        <w:jc w:val="both"/>
        <w:rPr>
          <w:rFonts w:ascii="Arial" w:hAnsi="Arial"/>
        </w:rPr>
      </w:pPr>
    </w:p>
    <w:p w:rsidR="007C285A" w:rsidRDefault="007C285A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Čl. 2</w:t>
      </w:r>
    </w:p>
    <w:p w:rsidR="007C285A" w:rsidRDefault="007C285A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Poplatník</w:t>
      </w:r>
    </w:p>
    <w:p w:rsidR="007C285A" w:rsidRDefault="007C285A">
      <w:pPr>
        <w:jc w:val="center"/>
        <w:rPr>
          <w:rFonts w:ascii="Arial" w:hAnsi="Arial"/>
        </w:rPr>
      </w:pPr>
    </w:p>
    <w:p w:rsidR="007C285A" w:rsidRDefault="007C285A" w:rsidP="00F22792">
      <w:pPr>
        <w:numPr>
          <w:ilvl w:val="0"/>
          <w:numId w:val="4"/>
        </w:numPr>
        <w:tabs>
          <w:tab w:val="clear" w:pos="720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Poplatníkem poplatku je</w:t>
      </w:r>
      <w:r>
        <w:rPr>
          <w:rStyle w:val="Znakypropoznmkupodarou"/>
          <w:rFonts w:ascii="Arial" w:hAnsi="Arial"/>
        </w:rPr>
        <w:footnoteReference w:id="3"/>
      </w:r>
      <w:r>
        <w:rPr>
          <w:rFonts w:ascii="Arial" w:hAnsi="Arial"/>
        </w:rPr>
        <w:t xml:space="preserve"> :</w:t>
      </w:r>
    </w:p>
    <w:p w:rsidR="007C285A" w:rsidRDefault="007C285A">
      <w:pPr>
        <w:ind w:left="567"/>
        <w:jc w:val="both"/>
        <w:rPr>
          <w:rFonts w:ascii="Arial" w:hAnsi="Arial"/>
        </w:rPr>
      </w:pPr>
    </w:p>
    <w:p w:rsidR="007C285A" w:rsidRDefault="007C285A">
      <w:pPr>
        <w:numPr>
          <w:ilvl w:val="0"/>
          <w:numId w:val="8"/>
        </w:numPr>
        <w:ind w:left="993" w:hanging="426"/>
        <w:jc w:val="both"/>
        <w:rPr>
          <w:rFonts w:ascii="Arial" w:hAnsi="Arial"/>
        </w:rPr>
      </w:pPr>
      <w:r>
        <w:rPr>
          <w:rFonts w:ascii="Arial" w:hAnsi="Arial"/>
        </w:rPr>
        <w:t>fyzická osoba přihlášená</w:t>
      </w:r>
      <w:r>
        <w:rPr>
          <w:rStyle w:val="Znakypropoznmkupodarou"/>
          <w:rFonts w:ascii="Arial" w:hAnsi="Arial"/>
        </w:rPr>
        <w:footnoteReference w:id="4"/>
      </w:r>
      <w:r>
        <w:rPr>
          <w:rFonts w:ascii="Arial" w:hAnsi="Arial"/>
          <w:vertAlign w:val="superscript"/>
        </w:rPr>
        <w:t xml:space="preserve"> </w:t>
      </w:r>
      <w:r>
        <w:rPr>
          <w:rFonts w:ascii="Arial" w:hAnsi="Arial"/>
        </w:rPr>
        <w:t xml:space="preserve"> ve městě nebo</w:t>
      </w:r>
    </w:p>
    <w:p w:rsidR="007C285A" w:rsidRDefault="007C285A">
      <w:pPr>
        <w:ind w:left="993" w:hanging="426"/>
        <w:jc w:val="both"/>
        <w:rPr>
          <w:rFonts w:ascii="Arial" w:hAnsi="Arial"/>
        </w:rPr>
      </w:pPr>
    </w:p>
    <w:p w:rsidR="007C285A" w:rsidRDefault="007C285A">
      <w:pPr>
        <w:ind w:left="993" w:hanging="426"/>
        <w:jc w:val="both"/>
        <w:rPr>
          <w:rFonts w:ascii="Arial" w:hAnsi="Arial"/>
        </w:rPr>
      </w:pPr>
      <w:r>
        <w:rPr>
          <w:rFonts w:ascii="Arial" w:hAnsi="Arial"/>
        </w:rPr>
        <w:t>b)</w:t>
      </w:r>
      <w:r>
        <w:rPr>
          <w:rFonts w:ascii="Arial" w:hAnsi="Arial"/>
        </w:rPr>
        <w:tab/>
        <w:t>vlastní nemovité věci zahrnující byt, rodinný dům nebo stavbu pro rodinnou rekreaci, ve které není přihlášená žádná fyzická osoba a která je umístěna na území obce.</w:t>
      </w:r>
    </w:p>
    <w:p w:rsidR="007C285A" w:rsidRDefault="007C285A">
      <w:pPr>
        <w:ind w:firstLine="709"/>
        <w:jc w:val="both"/>
        <w:rPr>
          <w:rFonts w:ascii="Arial" w:hAnsi="Arial"/>
        </w:rPr>
      </w:pPr>
    </w:p>
    <w:p w:rsidR="007C285A" w:rsidRDefault="007C285A" w:rsidP="00F22792">
      <w:pPr>
        <w:numPr>
          <w:ilvl w:val="0"/>
          <w:numId w:val="4"/>
        </w:numPr>
        <w:tabs>
          <w:tab w:val="clear" w:pos="720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Spoluvlastníci nemovité věci zahrnující byt, rodinný dům nebo stavbu pro rodinnou rekreaci jsou povinni plnit poplatkovou povinnost společně a nerozdílně.</w:t>
      </w:r>
      <w:r>
        <w:rPr>
          <w:rStyle w:val="Znakypropoznmkupodarou"/>
          <w:rFonts w:ascii="Arial" w:hAnsi="Arial"/>
        </w:rPr>
        <w:footnoteReference w:id="5"/>
      </w:r>
    </w:p>
    <w:p w:rsidR="007C285A" w:rsidRDefault="007C285A">
      <w:pPr>
        <w:jc w:val="both"/>
        <w:rPr>
          <w:rFonts w:ascii="Arial" w:hAnsi="Arial"/>
        </w:rPr>
      </w:pPr>
    </w:p>
    <w:p w:rsidR="007C285A" w:rsidRDefault="007C285A">
      <w:pPr>
        <w:jc w:val="both"/>
        <w:rPr>
          <w:rFonts w:ascii="Arial" w:hAnsi="Arial"/>
        </w:rPr>
      </w:pPr>
    </w:p>
    <w:p w:rsidR="007C285A" w:rsidRDefault="007C285A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Čl. 3</w:t>
      </w:r>
    </w:p>
    <w:p w:rsidR="007C285A" w:rsidRDefault="007C285A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Ohlašovací povinnost</w:t>
      </w:r>
    </w:p>
    <w:p w:rsidR="007C285A" w:rsidRDefault="007C285A">
      <w:pPr>
        <w:jc w:val="center"/>
        <w:rPr>
          <w:rFonts w:ascii="Arial" w:hAnsi="Arial"/>
          <w:b/>
          <w:bCs/>
        </w:rPr>
      </w:pPr>
    </w:p>
    <w:p w:rsidR="007C285A" w:rsidRDefault="007C285A">
      <w:pPr>
        <w:numPr>
          <w:ilvl w:val="0"/>
          <w:numId w:val="5"/>
        </w:numPr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Poplatník je povinen podat správci poplatku ohlášení nejpozději do 15 dnů ode dne vzniku své poplatkové povinnosti; údaje uváděné v ohlášení upravuje zákon.</w:t>
      </w:r>
      <w:r>
        <w:rPr>
          <w:rStyle w:val="Znakypropoznmkupodarou"/>
          <w:rFonts w:ascii="Arial" w:hAnsi="Arial"/>
        </w:rPr>
        <w:footnoteReference w:id="6"/>
      </w:r>
    </w:p>
    <w:p w:rsidR="007C285A" w:rsidRDefault="007C285A" w:rsidP="00F22792">
      <w:pPr>
        <w:pageBreakBefore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Arial" w:hAnsi="Arial"/>
          <w:b/>
        </w:rPr>
      </w:pPr>
      <w:r>
        <w:rPr>
          <w:rFonts w:ascii="Arial" w:hAnsi="Arial"/>
        </w:rPr>
        <w:lastRenderedPageBreak/>
        <w:t>Dojde-li ke změně údajů uvedených v ohlášení, je poplatník povinen tuto změnu oznámit do 15 dnů ode dne, kdy nastala.</w:t>
      </w:r>
      <w:r>
        <w:rPr>
          <w:rStyle w:val="Znakypropoznmkupodarou"/>
          <w:rFonts w:ascii="Arial" w:hAnsi="Arial"/>
        </w:rPr>
        <w:footnoteReference w:id="7"/>
      </w:r>
    </w:p>
    <w:p w:rsidR="007C285A" w:rsidRDefault="007C285A">
      <w:pPr>
        <w:jc w:val="center"/>
        <w:rPr>
          <w:rFonts w:ascii="Arial" w:hAnsi="Arial"/>
          <w:b/>
        </w:rPr>
      </w:pPr>
    </w:p>
    <w:p w:rsidR="007C285A" w:rsidRDefault="007C285A">
      <w:pPr>
        <w:jc w:val="center"/>
        <w:rPr>
          <w:rFonts w:ascii="Arial" w:hAnsi="Arial"/>
          <w:b/>
        </w:rPr>
      </w:pPr>
    </w:p>
    <w:p w:rsidR="007C285A" w:rsidRDefault="007C285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Čl. 4</w:t>
      </w:r>
    </w:p>
    <w:p w:rsidR="007C285A" w:rsidRDefault="007C285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Sazba poplatku</w:t>
      </w:r>
    </w:p>
    <w:p w:rsidR="007C285A" w:rsidRDefault="007C285A">
      <w:pPr>
        <w:jc w:val="center"/>
        <w:rPr>
          <w:rFonts w:ascii="Arial" w:hAnsi="Arial"/>
          <w:b/>
        </w:rPr>
      </w:pPr>
    </w:p>
    <w:p w:rsidR="007C285A" w:rsidRDefault="007C285A" w:rsidP="00F22792">
      <w:pPr>
        <w:numPr>
          <w:ilvl w:val="0"/>
          <w:numId w:val="6"/>
        </w:numPr>
        <w:tabs>
          <w:tab w:val="clear" w:pos="720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 xml:space="preserve">Sazba poplatku </w:t>
      </w:r>
      <w:r w:rsidR="004421F2">
        <w:rPr>
          <w:rFonts w:ascii="Arial" w:hAnsi="Arial"/>
        </w:rPr>
        <w:t xml:space="preserve">za kalendářní rok </w:t>
      </w:r>
      <w:r>
        <w:rPr>
          <w:rFonts w:ascii="Arial" w:hAnsi="Arial"/>
        </w:rPr>
        <w:t>činí 1 100,00 Kč.</w:t>
      </w:r>
    </w:p>
    <w:p w:rsidR="007C285A" w:rsidRDefault="007C285A" w:rsidP="00F22792">
      <w:pPr>
        <w:ind w:left="567" w:hanging="567"/>
        <w:rPr>
          <w:rFonts w:ascii="Arial" w:hAnsi="Arial"/>
        </w:rPr>
      </w:pPr>
    </w:p>
    <w:p w:rsidR="007C285A" w:rsidRDefault="007C285A" w:rsidP="00F22792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Znakypropoznmkupodarou"/>
          <w:rFonts w:ascii="Arial" w:hAnsi="Arial"/>
        </w:rPr>
        <w:footnoteReference w:id="8"/>
      </w:r>
    </w:p>
    <w:p w:rsidR="007C285A" w:rsidRDefault="007C285A">
      <w:pPr>
        <w:ind w:firstLine="567"/>
        <w:rPr>
          <w:rFonts w:ascii="Arial" w:hAnsi="Arial"/>
        </w:rPr>
      </w:pPr>
    </w:p>
    <w:p w:rsidR="007C285A" w:rsidRDefault="007C285A">
      <w:pPr>
        <w:ind w:firstLine="567"/>
        <w:rPr>
          <w:rFonts w:ascii="Arial" w:hAnsi="Arial"/>
        </w:rPr>
      </w:pPr>
      <w:r>
        <w:rPr>
          <w:rFonts w:ascii="Arial" w:hAnsi="Arial"/>
        </w:rPr>
        <w:t>a) není tato fyzická osoba přihlášena ve městě, nebo</w:t>
      </w:r>
    </w:p>
    <w:p w:rsidR="007C285A" w:rsidRDefault="007C285A">
      <w:pPr>
        <w:ind w:firstLine="567"/>
        <w:rPr>
          <w:rFonts w:ascii="Arial" w:hAnsi="Arial"/>
        </w:rPr>
      </w:pPr>
      <w:r>
        <w:rPr>
          <w:rFonts w:ascii="Arial" w:hAnsi="Arial"/>
        </w:rPr>
        <w:t>b) je tato fyzická osoba od poplatku osvobozena.</w:t>
      </w:r>
    </w:p>
    <w:p w:rsidR="007C285A" w:rsidRDefault="007C285A">
      <w:pPr>
        <w:rPr>
          <w:rFonts w:ascii="Arial" w:hAnsi="Arial"/>
        </w:rPr>
      </w:pPr>
    </w:p>
    <w:p w:rsidR="007C285A" w:rsidRDefault="007C285A" w:rsidP="00F22792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Poplatek se v případě, že poplatková povinnost vznikla z důvodu vlastnictví jednotlivé nemovité věci zahrnující byt, rodinný dům nebo stavbu pro rodinnou rekreaci umístěné na území města, snižuje o jednu dvanáctinu za každý kalendářní měsíc, na jehož konci</w:t>
      </w:r>
      <w:r>
        <w:rPr>
          <w:rStyle w:val="Znakypropoznmkupodarou"/>
          <w:rFonts w:ascii="Arial" w:hAnsi="Arial"/>
        </w:rPr>
        <w:footnoteReference w:id="9"/>
      </w:r>
    </w:p>
    <w:p w:rsidR="007C285A" w:rsidRDefault="007C285A">
      <w:pPr>
        <w:ind w:left="720"/>
        <w:jc w:val="both"/>
        <w:rPr>
          <w:rFonts w:ascii="Arial" w:hAnsi="Arial"/>
        </w:rPr>
      </w:pPr>
    </w:p>
    <w:p w:rsidR="007C285A" w:rsidRDefault="007C285A">
      <w:pPr>
        <w:ind w:firstLine="567"/>
        <w:rPr>
          <w:rFonts w:ascii="Arial" w:hAnsi="Arial"/>
        </w:rPr>
      </w:pPr>
      <w:r>
        <w:rPr>
          <w:rFonts w:ascii="Arial" w:hAnsi="Arial"/>
        </w:rPr>
        <w:t>a) je v této nemovité věci přihlášena alespoň 1 fyzická osoba</w:t>
      </w:r>
    </w:p>
    <w:p w:rsidR="007C285A" w:rsidRDefault="007C285A">
      <w:pPr>
        <w:ind w:firstLine="567"/>
        <w:rPr>
          <w:rFonts w:ascii="Arial" w:hAnsi="Arial"/>
        </w:rPr>
      </w:pPr>
      <w:r>
        <w:rPr>
          <w:rFonts w:ascii="Arial" w:hAnsi="Arial"/>
        </w:rPr>
        <w:t>b) poplatník nevlastní tuto nemovitou věc, nebo</w:t>
      </w:r>
    </w:p>
    <w:p w:rsidR="007C285A" w:rsidRDefault="007C285A">
      <w:pPr>
        <w:ind w:firstLine="567"/>
        <w:rPr>
          <w:rFonts w:ascii="Arial" w:hAnsi="Arial"/>
        </w:rPr>
      </w:pPr>
      <w:r>
        <w:rPr>
          <w:rFonts w:ascii="Arial" w:hAnsi="Arial"/>
        </w:rPr>
        <w:t xml:space="preserve">c) je poplatník od poplatku osvobozen. </w:t>
      </w:r>
    </w:p>
    <w:p w:rsidR="007C285A" w:rsidRDefault="007C285A">
      <w:pPr>
        <w:rPr>
          <w:rFonts w:ascii="Arial" w:hAnsi="Arial"/>
        </w:rPr>
      </w:pPr>
    </w:p>
    <w:p w:rsidR="007C285A" w:rsidRDefault="007C285A">
      <w:pPr>
        <w:jc w:val="center"/>
        <w:rPr>
          <w:rFonts w:ascii="Arial" w:hAnsi="Arial"/>
        </w:rPr>
      </w:pPr>
    </w:p>
    <w:p w:rsidR="007C285A" w:rsidRDefault="007C285A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Čl. 5</w:t>
      </w:r>
    </w:p>
    <w:p w:rsidR="0062598D" w:rsidRDefault="007C285A" w:rsidP="0062598D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Splatnost poplatku</w:t>
      </w:r>
    </w:p>
    <w:p w:rsidR="0062598D" w:rsidRDefault="0062598D" w:rsidP="0062598D">
      <w:pPr>
        <w:jc w:val="center"/>
        <w:rPr>
          <w:rFonts w:ascii="Arial" w:hAnsi="Arial"/>
        </w:rPr>
      </w:pPr>
    </w:p>
    <w:p w:rsidR="007C285A" w:rsidRPr="0035243D" w:rsidRDefault="0062598D" w:rsidP="0062598D">
      <w:pPr>
        <w:ind w:left="567" w:hanging="567"/>
        <w:jc w:val="both"/>
        <w:rPr>
          <w:rFonts w:ascii="Arial" w:hAnsi="Arial"/>
        </w:rPr>
      </w:pPr>
      <w:r w:rsidRPr="0035243D">
        <w:rPr>
          <w:rFonts w:ascii="Arial" w:hAnsi="Arial"/>
        </w:rPr>
        <w:t xml:space="preserve">1. </w:t>
      </w:r>
      <w:r w:rsidRPr="0035243D">
        <w:rPr>
          <w:rFonts w:ascii="Arial" w:hAnsi="Arial"/>
        </w:rPr>
        <w:tab/>
      </w:r>
      <w:r w:rsidR="0035243D">
        <w:rPr>
          <w:rFonts w:ascii="Arial" w:hAnsi="Arial"/>
        </w:rPr>
        <w:t>Poplatek je splatný ve 2 stejných splátkách, vždy nejpozději do 28. února a do 31. srpna příslušného kalendářního roku.</w:t>
      </w:r>
    </w:p>
    <w:p w:rsidR="0062598D" w:rsidRPr="0062598D" w:rsidRDefault="0062598D" w:rsidP="0062598D">
      <w:pPr>
        <w:ind w:left="567" w:hanging="567"/>
        <w:jc w:val="both"/>
        <w:rPr>
          <w:rFonts w:ascii="Arial" w:hAnsi="Arial"/>
          <w:color w:val="FF0000"/>
        </w:rPr>
      </w:pPr>
    </w:p>
    <w:p w:rsidR="007C285A" w:rsidRDefault="0062598D" w:rsidP="0062598D">
      <w:pPr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</w:r>
      <w:r w:rsidR="007C285A">
        <w:rPr>
          <w:rFonts w:ascii="Arial" w:hAnsi="Arial"/>
        </w:rPr>
        <w:t xml:space="preserve">Vznikne-li poplatková povinnost v období mezi daty uvedenými v odstavci 1, je poplatek splatný jednorázově ve lhůtě splatnosti druhé splátky podle odstavce 1. Vznikne-li poplatková povinnost po uplynutí lhůty splatnosti druhé splátky podle odstavce 1, je poplatek splatný jednorázově do patnáctého dne měsíce, který následuje po měsíci, ve kterém poplatková povinnost vznikla. </w:t>
      </w:r>
    </w:p>
    <w:p w:rsidR="0062598D" w:rsidRDefault="0062598D" w:rsidP="0062598D">
      <w:pPr>
        <w:ind w:left="567" w:hanging="567"/>
        <w:jc w:val="both"/>
        <w:rPr>
          <w:rFonts w:ascii="Arial" w:hAnsi="Arial"/>
        </w:rPr>
      </w:pPr>
    </w:p>
    <w:p w:rsidR="007C285A" w:rsidRDefault="0062598D" w:rsidP="0062598D">
      <w:pPr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 xml:space="preserve">3. </w:t>
      </w:r>
      <w:r>
        <w:rPr>
          <w:rFonts w:ascii="Arial" w:hAnsi="Arial"/>
        </w:rPr>
        <w:tab/>
      </w:r>
      <w:r w:rsidR="007C285A">
        <w:rPr>
          <w:rFonts w:ascii="Arial" w:hAnsi="Arial"/>
        </w:rPr>
        <w:t xml:space="preserve">Lhůta splatnosti neskončí poplatníkovi dříve než lhůta pro podání ohlášení podle čl. 3 odst. 1 této vyhlášky. </w:t>
      </w:r>
    </w:p>
    <w:p w:rsidR="007C285A" w:rsidRDefault="007C285A">
      <w:pPr>
        <w:jc w:val="both"/>
        <w:rPr>
          <w:rFonts w:ascii="Arial" w:hAnsi="Arial"/>
        </w:rPr>
      </w:pPr>
    </w:p>
    <w:p w:rsidR="007C285A" w:rsidRDefault="007C285A">
      <w:pPr>
        <w:jc w:val="both"/>
        <w:rPr>
          <w:rFonts w:ascii="Arial" w:hAnsi="Arial"/>
        </w:rPr>
      </w:pPr>
    </w:p>
    <w:p w:rsidR="007C285A" w:rsidRDefault="007C285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Čl. 6</w:t>
      </w:r>
    </w:p>
    <w:p w:rsidR="007C285A" w:rsidRDefault="007C285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Osvobození a úlevy</w:t>
      </w:r>
    </w:p>
    <w:p w:rsidR="007C285A" w:rsidRDefault="007C285A">
      <w:pPr>
        <w:jc w:val="center"/>
        <w:rPr>
          <w:rFonts w:ascii="Arial" w:hAnsi="Arial"/>
          <w:b/>
        </w:rPr>
      </w:pPr>
    </w:p>
    <w:p w:rsidR="007C285A" w:rsidRDefault="007C285A">
      <w:pPr>
        <w:pStyle w:val="Standard"/>
        <w:ind w:left="567" w:hanging="567"/>
        <w:jc w:val="both"/>
        <w:rPr>
          <w:rFonts w:ascii="Arial" w:eastAsia="Calibri" w:hAnsi="Arial" w:cs="Arial"/>
          <w:shd w:val="clear" w:color="auto" w:fill="FFFFFF"/>
          <w:lang w:val="cs-CZ"/>
        </w:rPr>
      </w:pPr>
      <w:r>
        <w:rPr>
          <w:rFonts w:ascii="Arial" w:eastAsia="Calibri" w:hAnsi="Arial" w:cs="Arial"/>
          <w:shd w:val="clear" w:color="auto" w:fill="FFFFFF"/>
          <w:lang w:val="cs-CZ"/>
        </w:rPr>
        <w:t>1.</w:t>
      </w:r>
      <w:r>
        <w:rPr>
          <w:rFonts w:ascii="Arial" w:eastAsia="Calibri" w:hAnsi="Arial" w:cs="Arial"/>
          <w:shd w:val="clear" w:color="auto" w:fill="FFFFFF"/>
          <w:lang w:val="cs-CZ"/>
        </w:rPr>
        <w:tab/>
        <w:t>Od poplatku je osvobozena osoba, které poplatková povinnost vznikla z důvodu přihlášení v obci a která je</w:t>
      </w:r>
      <w:r>
        <w:rPr>
          <w:rStyle w:val="Znakypropoznmkupodarou"/>
          <w:rFonts w:ascii="Arial" w:eastAsia="Calibri" w:hAnsi="Arial" w:cs="Arial"/>
          <w:shd w:val="clear" w:color="auto" w:fill="FFFFFF"/>
          <w:lang w:val="cs-CZ"/>
        </w:rPr>
        <w:footnoteReference w:id="10"/>
      </w:r>
    </w:p>
    <w:p w:rsidR="007C285A" w:rsidRDefault="007C285A">
      <w:pPr>
        <w:pStyle w:val="Standard"/>
        <w:pageBreakBefore/>
        <w:ind w:left="993" w:hanging="426"/>
        <w:jc w:val="both"/>
        <w:rPr>
          <w:rFonts w:ascii="Arial" w:eastAsia="Calibri" w:hAnsi="Arial" w:cs="Arial"/>
          <w:shd w:val="clear" w:color="auto" w:fill="FFFFFF"/>
          <w:lang w:val="cs-CZ"/>
        </w:rPr>
      </w:pPr>
      <w:r>
        <w:rPr>
          <w:rFonts w:ascii="Arial" w:eastAsia="Calibri" w:hAnsi="Arial" w:cs="Arial"/>
          <w:shd w:val="clear" w:color="auto" w:fill="FFFFFF"/>
          <w:lang w:val="cs-CZ"/>
        </w:rPr>
        <w:t>a)</w:t>
      </w:r>
      <w:r>
        <w:rPr>
          <w:rFonts w:ascii="Arial" w:eastAsia="Calibri" w:hAnsi="Arial" w:cs="Arial"/>
          <w:shd w:val="clear" w:color="auto" w:fill="FFFFFF"/>
          <w:lang w:val="cs-CZ"/>
        </w:rPr>
        <w:tab/>
        <w:t>poplatníkem poplatku za odkládání komunálního odpadu z nemovité věci v jiné obci a má v této jiné obci bydliště,</w:t>
      </w:r>
    </w:p>
    <w:p w:rsidR="007C285A" w:rsidRDefault="007C285A">
      <w:pPr>
        <w:pStyle w:val="Standard"/>
        <w:ind w:left="993" w:hanging="426"/>
        <w:jc w:val="both"/>
        <w:rPr>
          <w:rFonts w:ascii="Arial" w:eastAsia="Calibri" w:hAnsi="Arial" w:cs="Arial"/>
          <w:shd w:val="clear" w:color="auto" w:fill="FFFFFF"/>
          <w:lang w:val="cs-CZ"/>
        </w:rPr>
      </w:pPr>
    </w:p>
    <w:p w:rsidR="007C285A" w:rsidRDefault="007C285A">
      <w:pPr>
        <w:pStyle w:val="Standard"/>
        <w:ind w:left="993" w:hanging="426"/>
        <w:jc w:val="both"/>
        <w:rPr>
          <w:rFonts w:ascii="Arial" w:eastAsia="Calibri" w:hAnsi="Arial" w:cs="Arial"/>
          <w:shd w:val="clear" w:color="auto" w:fill="FFFFFF"/>
          <w:lang w:val="cs-CZ"/>
        </w:rPr>
      </w:pPr>
      <w:r>
        <w:rPr>
          <w:rFonts w:ascii="Arial" w:eastAsia="Calibri" w:hAnsi="Arial" w:cs="Arial"/>
          <w:shd w:val="clear" w:color="auto" w:fill="FFFFFF"/>
          <w:lang w:val="cs-CZ"/>
        </w:rPr>
        <w:t xml:space="preserve">b) </w:t>
      </w:r>
      <w:r>
        <w:rPr>
          <w:rFonts w:ascii="Arial" w:eastAsia="Calibri" w:hAnsi="Arial" w:cs="Arial"/>
          <w:shd w:val="clear" w:color="auto" w:fill="FFFFFF"/>
          <w:lang w:val="cs-CZ"/>
        </w:rPr>
        <w:tab/>
      </w:r>
      <w:r w:rsidRPr="00F22792">
        <w:rPr>
          <w:rFonts w:ascii="Arial" w:eastAsia="Calibri" w:hAnsi="Arial" w:cs="Arial"/>
          <w:color w:val="auto"/>
          <w:shd w:val="clear" w:color="auto" w:fill="FFFFFF"/>
          <w:lang w:val="cs-CZ"/>
        </w:rPr>
        <w:t>umístěna do školského zařízení pro výkon ústavní nebo ochranné výchovy nebo školského zařízení pro preventivně výchovnou péči na základě rozhodnutí soudu nebo smlouvy,</w:t>
      </w:r>
    </w:p>
    <w:p w:rsidR="007C285A" w:rsidRDefault="007C285A">
      <w:pPr>
        <w:pStyle w:val="Standard"/>
        <w:ind w:left="993" w:hanging="426"/>
        <w:jc w:val="both"/>
        <w:rPr>
          <w:rFonts w:ascii="Arial" w:eastAsia="Calibri" w:hAnsi="Arial" w:cs="Arial"/>
          <w:shd w:val="clear" w:color="auto" w:fill="FFFFFF"/>
          <w:lang w:val="cs-CZ"/>
        </w:rPr>
      </w:pPr>
    </w:p>
    <w:p w:rsidR="007C285A" w:rsidRDefault="007C285A">
      <w:pPr>
        <w:pStyle w:val="Standard"/>
        <w:ind w:left="993" w:hanging="426"/>
        <w:jc w:val="both"/>
        <w:rPr>
          <w:rFonts w:ascii="Arial" w:eastAsia="Calibri" w:hAnsi="Arial" w:cs="Arial"/>
          <w:shd w:val="clear" w:color="auto" w:fill="FFFFFF"/>
          <w:lang w:val="cs-CZ"/>
        </w:rPr>
      </w:pPr>
      <w:r>
        <w:rPr>
          <w:rFonts w:ascii="Arial" w:eastAsia="Calibri" w:hAnsi="Arial" w:cs="Arial"/>
          <w:shd w:val="clear" w:color="auto" w:fill="FFFFFF"/>
          <w:lang w:val="cs-CZ"/>
        </w:rPr>
        <w:t xml:space="preserve">c) </w:t>
      </w:r>
      <w:r>
        <w:rPr>
          <w:rFonts w:ascii="Arial" w:eastAsia="Calibri" w:hAnsi="Arial" w:cs="Arial"/>
          <w:shd w:val="clear" w:color="auto" w:fill="FFFFFF"/>
          <w:lang w:val="cs-CZ"/>
        </w:rPr>
        <w:tab/>
        <w:t>umístěna do zařízení pro děti vyžadující okamžitou pomoc na základě rozhodnutí soudu, na žádost obecního úřadu obce s rozšířenou působností, zákonného zástupce dítěte nebo nezletilého,</w:t>
      </w:r>
    </w:p>
    <w:p w:rsidR="007C285A" w:rsidRDefault="007C285A">
      <w:pPr>
        <w:pStyle w:val="Standard"/>
        <w:ind w:left="993" w:hanging="426"/>
        <w:jc w:val="both"/>
        <w:rPr>
          <w:rFonts w:ascii="Arial" w:eastAsia="Calibri" w:hAnsi="Arial" w:cs="Arial"/>
          <w:shd w:val="clear" w:color="auto" w:fill="FFFFFF"/>
          <w:lang w:val="cs-CZ"/>
        </w:rPr>
      </w:pPr>
    </w:p>
    <w:p w:rsidR="007C285A" w:rsidRDefault="007C285A">
      <w:pPr>
        <w:pStyle w:val="Standard"/>
        <w:ind w:left="993" w:hanging="426"/>
        <w:jc w:val="both"/>
        <w:rPr>
          <w:rFonts w:ascii="Arial" w:eastAsia="Calibri" w:hAnsi="Arial" w:cs="Arial"/>
          <w:shd w:val="clear" w:color="auto" w:fill="FFFFFF"/>
          <w:lang w:val="cs-CZ"/>
        </w:rPr>
      </w:pPr>
      <w:r>
        <w:rPr>
          <w:rFonts w:ascii="Arial" w:eastAsia="Calibri" w:hAnsi="Arial" w:cs="Arial"/>
          <w:shd w:val="clear" w:color="auto" w:fill="FFFFFF"/>
          <w:lang w:val="cs-CZ"/>
        </w:rPr>
        <w:t xml:space="preserve">d) </w:t>
      </w:r>
      <w:r>
        <w:rPr>
          <w:rFonts w:ascii="Arial" w:eastAsia="Calibri" w:hAnsi="Arial" w:cs="Arial"/>
          <w:shd w:val="clear" w:color="auto" w:fill="FFFFFF"/>
          <w:lang w:val="cs-CZ"/>
        </w:rPr>
        <w:tab/>
        <w:t>umístěna v domově pro osoby se zdravotním postižením, domově pro seniory, domově se zvláštním režimem nebo chráněném bydlení, nebo</w:t>
      </w:r>
    </w:p>
    <w:p w:rsidR="007C285A" w:rsidRDefault="007C285A">
      <w:pPr>
        <w:pStyle w:val="Standard"/>
        <w:ind w:left="993" w:hanging="426"/>
        <w:jc w:val="both"/>
        <w:rPr>
          <w:rFonts w:ascii="Arial" w:eastAsia="Calibri" w:hAnsi="Arial" w:cs="Arial"/>
          <w:shd w:val="clear" w:color="auto" w:fill="FFFFFF"/>
          <w:lang w:val="cs-CZ"/>
        </w:rPr>
      </w:pPr>
    </w:p>
    <w:p w:rsidR="007C285A" w:rsidRPr="00425ED7" w:rsidRDefault="007C285A">
      <w:pPr>
        <w:pStyle w:val="Standard"/>
        <w:ind w:left="993" w:hanging="426"/>
        <w:jc w:val="both"/>
        <w:rPr>
          <w:rFonts w:ascii="Arial" w:eastAsia="Calibri" w:hAnsi="Arial" w:cs="Arial"/>
          <w:b/>
          <w:shd w:val="clear" w:color="auto" w:fill="FFFFFF"/>
          <w:lang w:val="cs-CZ"/>
        </w:rPr>
      </w:pPr>
      <w:r>
        <w:rPr>
          <w:rFonts w:ascii="Arial" w:eastAsia="Calibri" w:hAnsi="Arial" w:cs="Arial"/>
          <w:shd w:val="clear" w:color="auto" w:fill="FFFFFF"/>
          <w:lang w:val="cs-CZ"/>
        </w:rPr>
        <w:t xml:space="preserve">e) </w:t>
      </w:r>
      <w:r>
        <w:rPr>
          <w:rFonts w:ascii="Arial" w:eastAsia="Calibri" w:hAnsi="Arial" w:cs="Arial"/>
          <w:shd w:val="clear" w:color="auto" w:fill="FFFFFF"/>
          <w:lang w:val="cs-CZ"/>
        </w:rPr>
        <w:tab/>
        <w:t>na základě zákona omezena na osobní svobodě s výjimkou osoby vykonávající trest domácího vězení.</w:t>
      </w:r>
    </w:p>
    <w:p w:rsidR="007C285A" w:rsidRDefault="007C285A">
      <w:pPr>
        <w:jc w:val="both"/>
        <w:rPr>
          <w:rFonts w:ascii="Arial" w:eastAsia="Calibri" w:hAnsi="Arial"/>
          <w:b/>
          <w:shd w:val="clear" w:color="auto" w:fill="FFFFFF"/>
        </w:rPr>
      </w:pPr>
    </w:p>
    <w:p w:rsidR="007C285A" w:rsidRPr="00425ED7" w:rsidRDefault="007C285A">
      <w:pPr>
        <w:pStyle w:val="Standard"/>
        <w:ind w:left="567" w:hanging="567"/>
        <w:jc w:val="both"/>
        <w:rPr>
          <w:rFonts w:ascii="Arial" w:hAnsi="Arial" w:cs="Arial"/>
          <w:lang w:val="cs-CZ"/>
        </w:rPr>
      </w:pPr>
      <w:r>
        <w:rPr>
          <w:rFonts w:ascii="Arial" w:eastAsia="Calibri" w:hAnsi="Arial" w:cs="Arial"/>
          <w:shd w:val="clear" w:color="auto" w:fill="FFFFFF"/>
          <w:lang w:val="cs-CZ"/>
        </w:rPr>
        <w:t xml:space="preserve">2. </w:t>
      </w:r>
      <w:r>
        <w:rPr>
          <w:rFonts w:ascii="Arial" w:eastAsia="Calibri" w:hAnsi="Arial" w:cs="Arial"/>
          <w:shd w:val="clear" w:color="auto" w:fill="FFFFFF"/>
          <w:lang w:val="cs-CZ"/>
        </w:rPr>
        <w:tab/>
        <w:t xml:space="preserve">Od poplatku je osvobozen vlastník nemovité věci zahrnující byt, rodinný dům nebo stavbu </w:t>
      </w:r>
      <w:r>
        <w:rPr>
          <w:rFonts w:ascii="Arial" w:hAnsi="Arial" w:cs="Arial"/>
          <w:lang w:val="cs-CZ"/>
        </w:rPr>
        <w:t>pro rodinnou rekreaci, ve které není přihlášena žádná fyzická osoba a která je umístěna na území obce a zároveň je tato nemovitost ve vlastnictví města Velvary.</w:t>
      </w:r>
    </w:p>
    <w:p w:rsidR="007C285A" w:rsidRDefault="007C285A">
      <w:pPr>
        <w:rPr>
          <w:rFonts w:ascii="Arial" w:hAnsi="Arial"/>
          <w:color w:val="000000"/>
        </w:rPr>
      </w:pPr>
    </w:p>
    <w:p w:rsidR="007C285A" w:rsidRDefault="007C285A">
      <w:pPr>
        <w:ind w:left="567" w:hanging="56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3.</w:t>
      </w:r>
      <w:r>
        <w:rPr>
          <w:rFonts w:ascii="Arial" w:hAnsi="Arial"/>
          <w:color w:val="000000"/>
        </w:rPr>
        <w:tab/>
        <w:t xml:space="preserve">Úleva se poskytuje osobě, které poplatková povinnost vznikla z důvodu přihlášení v obci a která </w:t>
      </w:r>
    </w:p>
    <w:p w:rsidR="007C285A" w:rsidRDefault="007C285A">
      <w:pPr>
        <w:rPr>
          <w:rFonts w:ascii="Arial" w:hAnsi="Arial"/>
          <w:color w:val="000000"/>
        </w:rPr>
      </w:pPr>
    </w:p>
    <w:p w:rsidR="007C285A" w:rsidRDefault="007C285A">
      <w:pPr>
        <w:ind w:left="993" w:hanging="426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a) </w:t>
      </w:r>
      <w:r>
        <w:rPr>
          <w:rFonts w:ascii="Arial" w:hAnsi="Arial"/>
          <w:color w:val="000000"/>
        </w:rPr>
        <w:tab/>
        <w:t>se ve městě prokazatelně nezdržuje a to ve výši 1/12 poplatku za každý dokončený kalendářní měsíc</w:t>
      </w:r>
    </w:p>
    <w:p w:rsidR="007C285A" w:rsidRDefault="007C285A">
      <w:pPr>
        <w:ind w:left="993" w:hanging="426"/>
        <w:jc w:val="both"/>
        <w:rPr>
          <w:rFonts w:ascii="Arial" w:hAnsi="Arial"/>
          <w:color w:val="000000"/>
        </w:rPr>
      </w:pPr>
    </w:p>
    <w:p w:rsidR="007C285A" w:rsidRDefault="007C285A">
      <w:pPr>
        <w:ind w:left="993" w:hanging="426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b)</w:t>
      </w:r>
      <w:r>
        <w:rPr>
          <w:rFonts w:ascii="Arial" w:hAnsi="Arial"/>
          <w:color w:val="000000"/>
        </w:rPr>
        <w:tab/>
        <w:t>se zapojí do Motivačního a evidenčního systému pro odpadové hospodářství (dále také jako „MESOH“ dle Pravidel k MESOH ve městě Velvary a to ve výši dle počtu získaných EKO bodů, přičemž hodnota jednoho EKO bodu činí 10,00 Kč a maximální možná úleva (součet úlev) činí 75 % celkové sazby poplatku.</w:t>
      </w:r>
    </w:p>
    <w:p w:rsidR="007C285A" w:rsidRDefault="007C285A">
      <w:pPr>
        <w:rPr>
          <w:rFonts w:ascii="Arial" w:hAnsi="Arial"/>
          <w:color w:val="000000"/>
        </w:rPr>
      </w:pPr>
    </w:p>
    <w:p w:rsidR="007C285A" w:rsidRDefault="007C285A">
      <w:pPr>
        <w:ind w:left="567" w:hanging="567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4.</w:t>
      </w:r>
      <w:r>
        <w:rPr>
          <w:rFonts w:ascii="Arial" w:hAnsi="Arial"/>
          <w:color w:val="000000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ypropoznmkupodarou"/>
          <w:rFonts w:ascii="Arial" w:hAnsi="Arial"/>
          <w:color w:val="000000"/>
        </w:rPr>
        <w:footnoteReference w:id="11"/>
      </w:r>
    </w:p>
    <w:p w:rsidR="007C285A" w:rsidRDefault="007C285A">
      <w:pPr>
        <w:rPr>
          <w:rFonts w:ascii="Arial" w:hAnsi="Arial"/>
        </w:rPr>
      </w:pPr>
    </w:p>
    <w:p w:rsidR="007C285A" w:rsidRDefault="007C285A">
      <w:pPr>
        <w:jc w:val="center"/>
        <w:rPr>
          <w:rFonts w:ascii="Arial" w:hAnsi="Arial"/>
          <w:b/>
        </w:rPr>
      </w:pPr>
    </w:p>
    <w:p w:rsidR="007C285A" w:rsidRDefault="007C285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Čl. 7</w:t>
      </w:r>
    </w:p>
    <w:p w:rsidR="007C285A" w:rsidRDefault="007C285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Zvýšení poplatku</w:t>
      </w:r>
    </w:p>
    <w:p w:rsidR="007C285A" w:rsidRDefault="007C285A">
      <w:pPr>
        <w:jc w:val="center"/>
        <w:rPr>
          <w:rFonts w:ascii="Arial" w:hAnsi="Arial"/>
          <w:b/>
        </w:rPr>
      </w:pPr>
    </w:p>
    <w:p w:rsidR="007C285A" w:rsidRDefault="007C285A">
      <w:pPr>
        <w:jc w:val="both"/>
        <w:rPr>
          <w:rFonts w:ascii="Arial" w:hAnsi="Arial"/>
          <w:b/>
        </w:rPr>
      </w:pPr>
      <w:r>
        <w:rPr>
          <w:rFonts w:ascii="Arial" w:eastAsia="Calibri" w:hAnsi="Arial"/>
          <w:shd w:val="clear" w:color="auto" w:fill="FFFFFF"/>
        </w:rPr>
        <w:t>Správce poplatku může poplatkovému subjektu stanovit zvýšení poplatku jako následek za pozdní úhradu poplatku nebo jeho části, a to až do výše dvojnásobku rozdílu mezi částkou poplatku, která má být zaplacena a částkou zaplacenou do původního dne splatnosti poplatku. Zvýšení poplatku je příslušenstvím poplatku sledujícím jeho osud.”</w:t>
      </w:r>
      <w:r>
        <w:rPr>
          <w:rStyle w:val="Znakypropoznmkupodarou"/>
          <w:rFonts w:ascii="Arial" w:eastAsia="Calibri" w:hAnsi="Arial"/>
          <w:shd w:val="clear" w:color="auto" w:fill="FFFFFF"/>
        </w:rPr>
        <w:footnoteReference w:id="12"/>
      </w:r>
    </w:p>
    <w:p w:rsidR="007C285A" w:rsidRDefault="007C285A">
      <w:pPr>
        <w:pageBreakBefore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Čl. 8</w:t>
      </w:r>
    </w:p>
    <w:p w:rsidR="007C285A" w:rsidRDefault="007C285A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</w:rPr>
        <w:t>Přechodné a zrušovací ustanovení</w:t>
      </w:r>
    </w:p>
    <w:p w:rsidR="007C285A" w:rsidRDefault="007C285A">
      <w:pPr>
        <w:jc w:val="both"/>
        <w:rPr>
          <w:rFonts w:ascii="Arial" w:hAnsi="Arial"/>
          <w:b/>
          <w:bCs/>
        </w:rPr>
      </w:pPr>
    </w:p>
    <w:p w:rsidR="007C285A" w:rsidRDefault="007C285A" w:rsidP="00F22792">
      <w:pPr>
        <w:numPr>
          <w:ilvl w:val="1"/>
          <w:numId w:val="7"/>
        </w:numPr>
        <w:tabs>
          <w:tab w:val="clear" w:pos="1080"/>
        </w:tabs>
        <w:ind w:left="567" w:hanging="567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Poplatkové povinnosti vzniklé před nabytím účinnosti této vyhlášky se posuzují podle dosavadních právních předpisů.</w:t>
      </w:r>
    </w:p>
    <w:p w:rsidR="007C285A" w:rsidRDefault="007C285A" w:rsidP="00F22792">
      <w:pPr>
        <w:ind w:left="567" w:hanging="567"/>
        <w:jc w:val="both"/>
        <w:rPr>
          <w:rFonts w:ascii="Arial" w:hAnsi="Arial"/>
          <w:bCs/>
        </w:rPr>
      </w:pPr>
    </w:p>
    <w:p w:rsidR="007C285A" w:rsidRDefault="007C285A" w:rsidP="00F22792">
      <w:pPr>
        <w:numPr>
          <w:ilvl w:val="1"/>
          <w:numId w:val="7"/>
        </w:numPr>
        <w:tabs>
          <w:tab w:val="clear" w:pos="1080"/>
        </w:tabs>
        <w:ind w:left="567" w:hanging="567"/>
        <w:jc w:val="both"/>
        <w:rPr>
          <w:rFonts w:ascii="Arial" w:hAnsi="Arial"/>
          <w:b/>
        </w:rPr>
      </w:pPr>
      <w:r>
        <w:rPr>
          <w:rFonts w:ascii="Arial" w:hAnsi="Arial"/>
          <w:bCs/>
        </w:rPr>
        <w:t xml:space="preserve">Zrušuje se obecně závazná vyhláška č. </w:t>
      </w:r>
      <w:r w:rsidR="0062598D">
        <w:rPr>
          <w:rFonts w:ascii="Arial" w:hAnsi="Arial"/>
          <w:bCs/>
        </w:rPr>
        <w:t>2/2024</w:t>
      </w:r>
      <w:r>
        <w:rPr>
          <w:rFonts w:ascii="Arial" w:hAnsi="Arial"/>
          <w:bCs/>
        </w:rPr>
        <w:t xml:space="preserve"> o místním poplatku za obecní systém </w:t>
      </w:r>
      <w:r w:rsidR="0062598D">
        <w:rPr>
          <w:rFonts w:ascii="Arial" w:hAnsi="Arial"/>
          <w:bCs/>
        </w:rPr>
        <w:t>odpadového hospodářství ze dne 21. 11. 2024</w:t>
      </w:r>
      <w:r>
        <w:rPr>
          <w:rFonts w:ascii="Arial" w:hAnsi="Arial"/>
          <w:bCs/>
        </w:rPr>
        <w:t>.</w:t>
      </w:r>
    </w:p>
    <w:p w:rsidR="007C285A" w:rsidRDefault="007C285A">
      <w:pPr>
        <w:jc w:val="both"/>
        <w:rPr>
          <w:rFonts w:ascii="Arial" w:hAnsi="Arial"/>
          <w:b/>
        </w:rPr>
      </w:pPr>
    </w:p>
    <w:p w:rsidR="007C285A" w:rsidRDefault="007C285A">
      <w:pPr>
        <w:jc w:val="both"/>
        <w:rPr>
          <w:rFonts w:ascii="Arial" w:hAnsi="Arial"/>
          <w:b/>
        </w:rPr>
      </w:pPr>
    </w:p>
    <w:p w:rsidR="007C285A" w:rsidRDefault="007C285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Čl. 9</w:t>
      </w:r>
    </w:p>
    <w:p w:rsidR="007C285A" w:rsidRDefault="007C285A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</w:rPr>
        <w:t>Účinnost</w:t>
      </w:r>
    </w:p>
    <w:p w:rsidR="007C285A" w:rsidRDefault="007C285A">
      <w:pPr>
        <w:jc w:val="center"/>
        <w:rPr>
          <w:rFonts w:ascii="Arial" w:hAnsi="Arial"/>
          <w:b/>
          <w:bCs/>
        </w:rPr>
      </w:pPr>
    </w:p>
    <w:p w:rsidR="007C285A" w:rsidRDefault="007C285A">
      <w:pPr>
        <w:rPr>
          <w:rFonts w:ascii="Arial" w:hAnsi="Arial"/>
          <w:b/>
          <w:bCs/>
        </w:rPr>
      </w:pPr>
      <w:r>
        <w:rPr>
          <w:rFonts w:ascii="Arial" w:hAnsi="Arial"/>
          <w:bCs/>
        </w:rPr>
        <w:t>Tato vyhláška nabývá účinnost dnem 1. 1. 202</w:t>
      </w:r>
      <w:r w:rsidR="0062598D">
        <w:rPr>
          <w:rFonts w:ascii="Arial" w:hAnsi="Arial"/>
          <w:bCs/>
        </w:rPr>
        <w:t>6</w:t>
      </w:r>
      <w:r w:rsidR="00EB2C36">
        <w:rPr>
          <w:rFonts w:ascii="Arial" w:hAnsi="Arial"/>
          <w:bCs/>
        </w:rPr>
        <w:t>.</w:t>
      </w:r>
    </w:p>
    <w:p w:rsidR="007C285A" w:rsidRDefault="007C285A">
      <w:pPr>
        <w:jc w:val="both"/>
        <w:rPr>
          <w:rFonts w:ascii="Arial" w:hAnsi="Arial"/>
          <w:b/>
          <w:bCs/>
        </w:rPr>
      </w:pPr>
    </w:p>
    <w:p w:rsidR="007C285A" w:rsidRDefault="007C285A">
      <w:pPr>
        <w:jc w:val="both"/>
        <w:rPr>
          <w:rFonts w:ascii="Arial" w:hAnsi="Arial"/>
          <w:b/>
          <w:bCs/>
        </w:rPr>
      </w:pPr>
    </w:p>
    <w:p w:rsidR="00F52A33" w:rsidRDefault="00F52A33">
      <w:pPr>
        <w:jc w:val="both"/>
        <w:rPr>
          <w:rFonts w:ascii="Arial" w:hAnsi="Arial"/>
          <w:b/>
          <w:bCs/>
        </w:rPr>
      </w:pPr>
    </w:p>
    <w:p w:rsidR="007C285A" w:rsidRDefault="007C285A">
      <w:pPr>
        <w:jc w:val="both"/>
        <w:rPr>
          <w:rFonts w:ascii="Arial" w:hAnsi="Arial"/>
          <w:b/>
          <w:bCs/>
        </w:rPr>
      </w:pPr>
    </w:p>
    <w:p w:rsidR="007C285A" w:rsidRDefault="007C285A">
      <w:pPr>
        <w:jc w:val="both"/>
        <w:rPr>
          <w:rFonts w:ascii="Arial" w:hAnsi="Arial"/>
          <w:b/>
          <w:bCs/>
        </w:rPr>
      </w:pPr>
    </w:p>
    <w:p w:rsidR="007C285A" w:rsidRDefault="007C285A">
      <w:pPr>
        <w:jc w:val="both"/>
        <w:rPr>
          <w:rFonts w:ascii="Arial" w:hAnsi="Arial"/>
          <w:b/>
          <w:bCs/>
        </w:rPr>
      </w:pPr>
    </w:p>
    <w:p w:rsidR="00816783" w:rsidRDefault="00816783" w:rsidP="00816783">
      <w:pPr>
        <w:ind w:left="705" w:hanging="705"/>
        <w:jc w:val="center"/>
        <w:rPr>
          <w:rFonts w:ascii="Arial" w:eastAsia="Times New Roman" w:hAnsi="Arial"/>
        </w:rPr>
      </w:pPr>
      <w:r>
        <w:rPr>
          <w:rFonts w:ascii="Arial" w:eastAsia="Times New Roman" w:hAnsi="Arial"/>
        </w:rPr>
        <w:t>PhDr. Radim Wolák</w:t>
      </w:r>
      <w:r w:rsidR="00C94B37">
        <w:rPr>
          <w:rFonts w:ascii="Arial" w:eastAsia="Times New Roman" w:hAnsi="Arial"/>
        </w:rPr>
        <w:t xml:space="preserve"> v.r.</w:t>
      </w:r>
    </w:p>
    <w:p w:rsidR="00816783" w:rsidRDefault="00816783" w:rsidP="00816783">
      <w:pPr>
        <w:ind w:left="705" w:hanging="705"/>
        <w:jc w:val="center"/>
        <w:rPr>
          <w:rFonts w:ascii="Arial" w:eastAsia="Times New Roman" w:hAnsi="Arial"/>
        </w:rPr>
      </w:pPr>
      <w:r>
        <w:rPr>
          <w:rFonts w:ascii="Arial" w:eastAsia="Times New Roman" w:hAnsi="Arial"/>
        </w:rPr>
        <w:t>starosta města</w:t>
      </w:r>
    </w:p>
    <w:p w:rsidR="00816783" w:rsidRDefault="00816783" w:rsidP="00816783">
      <w:pPr>
        <w:ind w:left="705" w:hanging="705"/>
        <w:jc w:val="center"/>
        <w:rPr>
          <w:rFonts w:ascii="Arial" w:eastAsia="Times New Roman" w:hAnsi="Arial"/>
        </w:rPr>
      </w:pPr>
    </w:p>
    <w:p w:rsidR="00816783" w:rsidRDefault="00816783" w:rsidP="00816783">
      <w:pPr>
        <w:ind w:left="705" w:hanging="705"/>
        <w:jc w:val="center"/>
        <w:rPr>
          <w:rFonts w:ascii="Arial" w:eastAsia="Times New Roman" w:hAnsi="Arial"/>
        </w:rPr>
      </w:pPr>
    </w:p>
    <w:p w:rsidR="00816783" w:rsidRDefault="00816783" w:rsidP="00816783">
      <w:pPr>
        <w:ind w:left="705" w:hanging="705"/>
        <w:jc w:val="center"/>
        <w:rPr>
          <w:rFonts w:ascii="Arial" w:eastAsia="Times New Roman" w:hAnsi="Arial"/>
        </w:rPr>
      </w:pPr>
    </w:p>
    <w:p w:rsidR="00816783" w:rsidRDefault="00816783" w:rsidP="00816783">
      <w:pPr>
        <w:ind w:left="705" w:hanging="705"/>
        <w:jc w:val="center"/>
        <w:rPr>
          <w:rFonts w:ascii="Arial" w:eastAsia="Times New Roman" w:hAnsi="Arial"/>
        </w:rPr>
      </w:pPr>
    </w:p>
    <w:p w:rsidR="00816783" w:rsidRDefault="00816783" w:rsidP="00816783">
      <w:pPr>
        <w:ind w:left="705" w:hanging="705"/>
        <w:jc w:val="center"/>
        <w:rPr>
          <w:rFonts w:ascii="Arial" w:eastAsia="Times New Roman" w:hAnsi="Arial"/>
        </w:rPr>
      </w:pPr>
    </w:p>
    <w:p w:rsidR="00816783" w:rsidRDefault="00816783" w:rsidP="00816783">
      <w:pPr>
        <w:tabs>
          <w:tab w:val="center" w:pos="1985"/>
          <w:tab w:val="center" w:pos="7371"/>
        </w:tabs>
        <w:rPr>
          <w:rFonts w:ascii="Arial" w:eastAsia="Times New Roman" w:hAnsi="Arial"/>
        </w:rPr>
      </w:pPr>
      <w:r>
        <w:rPr>
          <w:rFonts w:ascii="Arial" w:eastAsia="Times New Roman" w:hAnsi="Arial"/>
        </w:rPr>
        <w:tab/>
        <w:t>Ing. Zdeněk Vojtěchovský</w:t>
      </w:r>
      <w:r w:rsidR="00C94B37">
        <w:rPr>
          <w:rFonts w:ascii="Arial" w:eastAsia="Times New Roman" w:hAnsi="Arial"/>
        </w:rPr>
        <w:t xml:space="preserve"> v.r.</w:t>
      </w:r>
      <w:r>
        <w:rPr>
          <w:rFonts w:ascii="Arial" w:eastAsia="Times New Roman" w:hAnsi="Arial"/>
        </w:rPr>
        <w:tab/>
        <w:t>Ing. Jitka Schubertová</w:t>
      </w:r>
      <w:r w:rsidR="00C94B37">
        <w:rPr>
          <w:rFonts w:ascii="Arial" w:eastAsia="Times New Roman" w:hAnsi="Arial"/>
        </w:rPr>
        <w:t xml:space="preserve"> v.r.</w:t>
      </w:r>
    </w:p>
    <w:p w:rsidR="00816783" w:rsidRDefault="00816783" w:rsidP="00816783">
      <w:pPr>
        <w:tabs>
          <w:tab w:val="center" w:pos="1985"/>
          <w:tab w:val="center" w:pos="7371"/>
        </w:tabs>
        <w:rPr>
          <w:rFonts w:ascii="Arial" w:hAnsi="Arial"/>
        </w:rPr>
      </w:pPr>
      <w:r>
        <w:rPr>
          <w:rFonts w:ascii="Arial" w:eastAsia="Times New Roman" w:hAnsi="Arial"/>
        </w:rPr>
        <w:tab/>
        <w:t>místostarosta města</w:t>
      </w:r>
      <w:r>
        <w:rPr>
          <w:rFonts w:ascii="Arial" w:eastAsia="Times New Roman" w:hAnsi="Arial"/>
        </w:rPr>
        <w:tab/>
        <w:t>místostarostka města</w:t>
      </w:r>
    </w:p>
    <w:p w:rsidR="007C285A" w:rsidRDefault="007C285A">
      <w:pPr>
        <w:pStyle w:val="Odstavecseseznamem"/>
        <w:shd w:val="clear" w:color="auto" w:fill="FFFFFF"/>
        <w:ind w:left="705" w:hanging="705"/>
        <w:jc w:val="center"/>
      </w:pPr>
    </w:p>
    <w:sectPr w:rsidR="007C285A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139" w:rsidRDefault="00822139">
      <w:r>
        <w:separator/>
      </w:r>
    </w:p>
  </w:endnote>
  <w:endnote w:type="continuationSeparator" w:id="0">
    <w:p w:rsidR="00822139" w:rsidRDefault="0082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85A" w:rsidRDefault="007C285A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822139">
      <w:rPr>
        <w:noProof/>
      </w:rPr>
      <w:t>1</w:t>
    </w:r>
    <w:r>
      <w:fldChar w:fldCharType="end"/>
    </w:r>
  </w:p>
  <w:p w:rsidR="007C285A" w:rsidRDefault="007C28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139" w:rsidRDefault="00822139">
      <w:r>
        <w:separator/>
      </w:r>
    </w:p>
  </w:footnote>
  <w:footnote w:type="continuationSeparator" w:id="0">
    <w:p w:rsidR="00822139" w:rsidRDefault="00822139">
      <w:r>
        <w:continuationSeparator/>
      </w:r>
    </w:p>
  </w:footnote>
  <w:footnote w:id="1">
    <w:p w:rsidR="007C285A" w:rsidRDefault="007C285A">
      <w:pPr>
        <w:jc w:val="both"/>
      </w:pPr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/>
          <w:sz w:val="18"/>
          <w:szCs w:val="18"/>
        </w:rPr>
        <w:t>§ 10o odst. 1 zákona o místních poplatcích</w:t>
      </w:r>
    </w:p>
  </w:footnote>
  <w:footnote w:id="2">
    <w:p w:rsidR="007C285A" w:rsidRDefault="007C285A">
      <w:pPr>
        <w:jc w:val="both"/>
      </w:pPr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/>
          <w:sz w:val="18"/>
          <w:szCs w:val="18"/>
        </w:rPr>
        <w:t>§ 15 odst. 1 zákona o místních poplatcích</w:t>
      </w:r>
    </w:p>
  </w:footnote>
  <w:footnote w:id="3">
    <w:p w:rsidR="007C285A" w:rsidRDefault="007C285A">
      <w:pPr>
        <w:jc w:val="both"/>
      </w:pPr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/>
          <w:sz w:val="18"/>
          <w:szCs w:val="18"/>
        </w:rPr>
        <w:t>§ 10e zákona o místních poplatcích</w:t>
      </w:r>
    </w:p>
  </w:footnote>
  <w:footnote w:id="4">
    <w:p w:rsidR="007C285A" w:rsidRDefault="007C285A">
      <w:pPr>
        <w:jc w:val="both"/>
      </w:pPr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/>
          <w:sz w:val="18"/>
          <w:szCs w:val="18"/>
        </w:rPr>
        <w:t>§ 16c zákona o místních poplatcích</w:t>
      </w:r>
    </w:p>
  </w:footnote>
  <w:footnote w:id="5">
    <w:p w:rsidR="007C285A" w:rsidRDefault="007C285A">
      <w:pPr>
        <w:jc w:val="both"/>
      </w:pPr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/>
          <w:sz w:val="18"/>
          <w:szCs w:val="18"/>
        </w:rPr>
        <w:t>§ 10p zákona o místních poplatcích</w:t>
      </w:r>
    </w:p>
  </w:footnote>
  <w:footnote w:id="6">
    <w:p w:rsidR="007C285A" w:rsidRDefault="007C285A">
      <w:pPr>
        <w:jc w:val="both"/>
      </w:pPr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/>
          <w:sz w:val="18"/>
          <w:szCs w:val="18"/>
        </w:rPr>
        <w:t>§ 14a odst. 1 a 2 zákona o místních poplatcích</w:t>
      </w:r>
    </w:p>
  </w:footnote>
  <w:footnote w:id="7">
    <w:p w:rsidR="007C285A" w:rsidRDefault="007C285A">
      <w:pPr>
        <w:jc w:val="both"/>
      </w:pPr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/>
          <w:bCs/>
          <w:sz w:val="18"/>
          <w:szCs w:val="18"/>
        </w:rPr>
        <w:t>§14a odst. 4 zákona o místních poplatcích</w:t>
      </w:r>
    </w:p>
  </w:footnote>
  <w:footnote w:id="8">
    <w:p w:rsidR="007C285A" w:rsidRDefault="007C285A">
      <w:pPr>
        <w:jc w:val="both"/>
      </w:pPr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/>
          <w:bCs/>
          <w:sz w:val="18"/>
          <w:szCs w:val="18"/>
        </w:rPr>
        <w:t>§ 10h odst. 2 ve spojení s § 10o odst. 2 zákona o místních poplatcích</w:t>
      </w:r>
    </w:p>
  </w:footnote>
  <w:footnote w:id="9">
    <w:p w:rsidR="007C285A" w:rsidRDefault="007C285A">
      <w:pPr>
        <w:jc w:val="both"/>
      </w:pPr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/>
          <w:bCs/>
          <w:sz w:val="18"/>
          <w:szCs w:val="18"/>
        </w:rPr>
        <w:t>§ 10 h odst. 3 ve spojení s § 10o odst. 2 zákona o místních poplatcích</w:t>
      </w:r>
    </w:p>
  </w:footnote>
  <w:footnote w:id="10">
    <w:p w:rsidR="007C285A" w:rsidRDefault="007C285A"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/>
          <w:sz w:val="18"/>
          <w:szCs w:val="18"/>
        </w:rPr>
        <w:t>§ 10g zákona o místních poplatcích</w:t>
      </w:r>
    </w:p>
  </w:footnote>
  <w:footnote w:id="11">
    <w:p w:rsidR="007C285A" w:rsidRDefault="007C285A"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/>
          <w:sz w:val="18"/>
          <w:szCs w:val="18"/>
        </w:rPr>
        <w:t>§ 14a odst. 6 zákona o místních poplatcích</w:t>
      </w:r>
    </w:p>
  </w:footnote>
  <w:footnote w:id="12">
    <w:p w:rsidR="007C285A" w:rsidRDefault="007C285A"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/>
          <w:sz w:val="18"/>
          <w:szCs w:val="18"/>
        </w:rPr>
        <w:t>§ 11c odst. 1 zákona o místních poplatcích</w:t>
      </w:r>
    </w:p>
    <w:p w:rsidR="007C285A" w:rsidRDefault="007C285A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D7"/>
    <w:rsid w:val="00136B6F"/>
    <w:rsid w:val="001A1CF6"/>
    <w:rsid w:val="001E0420"/>
    <w:rsid w:val="0035243D"/>
    <w:rsid w:val="00425ED7"/>
    <w:rsid w:val="004421F2"/>
    <w:rsid w:val="0048519E"/>
    <w:rsid w:val="004C3D97"/>
    <w:rsid w:val="0062598D"/>
    <w:rsid w:val="007C285A"/>
    <w:rsid w:val="00816783"/>
    <w:rsid w:val="00822139"/>
    <w:rsid w:val="0091238B"/>
    <w:rsid w:val="009F4272"/>
    <w:rsid w:val="00C94B37"/>
    <w:rsid w:val="00DF2B5A"/>
    <w:rsid w:val="00EB2C36"/>
    <w:rsid w:val="00F22792"/>
    <w:rsid w:val="00F5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9E7921A-AA95-4064-9031-EDDD2CF2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b w:val="0"/>
      <w:bCs/>
    </w:rPr>
  </w:style>
  <w:style w:type="character" w:customStyle="1" w:styleId="WW8Num7z1">
    <w:name w:val="WW8Num7z1"/>
    <w:rPr>
      <w:b w:val="0"/>
      <w:bCs w:val="0"/>
    </w:rPr>
  </w:style>
  <w:style w:type="character" w:customStyle="1" w:styleId="Standardnpsmoodstavce7">
    <w:name w:val="Standardní písmo odstavce7"/>
  </w:style>
  <w:style w:type="character" w:customStyle="1" w:styleId="Standardnpsmoodstavce6">
    <w:name w:val="Standardní písmo odstavce6"/>
  </w:style>
  <w:style w:type="character" w:customStyle="1" w:styleId="WW8Num8z0">
    <w:name w:val="WW8Num8z0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WW8Num2z0">
    <w:name w:val="WW8Num2z0"/>
    <w:rPr>
      <w:rFonts w:ascii="Calibri" w:hAnsi="Calibri" w:cs="Arimo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4z0">
    <w:name w:val="WW8Num4z0"/>
    <w:rPr>
      <w:rFonts w:ascii="Calibri" w:eastAsia="SimSun" w:hAnsi="Calibri" w:cs="Arim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0">
    <w:name w:val="WW8Num11z0"/>
    <w:rPr>
      <w:rFonts w:ascii="Calibri" w:eastAsia="SimSun" w:hAnsi="Calibri" w:cs="Arimo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Hypertextovodkaz">
    <w:name w:val="Hyperlink"/>
    <w:rPr>
      <w:color w:val="000080"/>
      <w:u w:val="single"/>
      <w:lang/>
    </w:rPr>
  </w:style>
  <w:style w:type="character" w:styleId="Siln">
    <w:name w:val="Strong"/>
    <w:qFormat/>
    <w:rPr>
      <w:b/>
      <w:bCs/>
    </w:rPr>
  </w:style>
  <w:style w:type="character" w:customStyle="1" w:styleId="ZhlavChar">
    <w:name w:val="Záhlaví Ch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ZpatChar">
    <w:name w:val="Zápatí Ch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TextpoznpodarouChar">
    <w:name w:val="Text pozn. pod čarou Char"/>
    <w:rPr>
      <w:rFonts w:eastAsia="SimSun" w:cs="Mangal"/>
      <w:kern w:val="1"/>
      <w:szCs w:val="18"/>
      <w:lang w:eastAsia="hi-IN" w:bidi="hi-IN"/>
    </w:rPr>
  </w:style>
  <w:style w:type="character" w:customStyle="1" w:styleId="Znakypropoznmkupodarou">
    <w:name w:val="Znaky pro poznámku pod čarou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styleId="Odstavecseseznamem">
    <w:name w:val="List Paragraph"/>
    <w:basedOn w:val="Normln"/>
    <w:qFormat/>
    <w:pPr>
      <w:ind w:left="708"/>
    </w:pPr>
    <w:rPr>
      <w:rFonts w:cs="Mangal"/>
      <w:szCs w:val="21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Calibri" w:eastAsia="Lucida Sans Unicode" w:hAnsi="Calibri" w:cs="Tahoma"/>
      <w:color w:val="000000"/>
      <w:kern w:val="1"/>
      <w:sz w:val="24"/>
      <w:szCs w:val="24"/>
      <w:lang w:val="en-US" w:eastAsia="en-US" w:bidi="en-US"/>
    </w:rPr>
  </w:style>
  <w:style w:type="paragraph" w:styleId="Textpoznpodarou">
    <w:name w:val="footnote text"/>
    <w:basedOn w:val="Normln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875</Words>
  <Characters>4692</Characters>
  <Application>Microsoft Office Word</Application>
  <DocSecurity>0</DocSecurity>
  <Lines>180</Lines>
  <Paragraphs>142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Ajeto</dc:creator>
  <cp:keywords/>
  <cp:lastModifiedBy>Radek Moulis</cp:lastModifiedBy>
  <cp:revision>2</cp:revision>
  <cp:lastPrinted>2025-09-19T07:24:00Z</cp:lastPrinted>
  <dcterms:created xsi:type="dcterms:W3CDTF">2025-09-25T11:24:00Z</dcterms:created>
  <dcterms:modified xsi:type="dcterms:W3CDTF">2025-09-25T11:24:00Z</dcterms:modified>
</cp:coreProperties>
</file>