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72E" w:rsidRPr="00880102" w:rsidRDefault="00A9472E" w:rsidP="00A947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V E L K É   B Ř E Z N O </w:t>
      </w:r>
    </w:p>
    <w:p w:rsidR="00A9472E" w:rsidRDefault="00A9472E" w:rsidP="00A9472E">
      <w:pPr>
        <w:jc w:val="center"/>
        <w:rPr>
          <w:b/>
          <w:sz w:val="20"/>
        </w:rPr>
      </w:pPr>
    </w:p>
    <w:p w:rsidR="00A9472E" w:rsidRPr="007913A8" w:rsidRDefault="00A9472E" w:rsidP="00A9472E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VELKÉ BŘEZNO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3A1917">
        <w:rPr>
          <w:i/>
        </w:rPr>
        <w:t xml:space="preserve">Zastupitelstvo </w:t>
      </w:r>
      <w:r w:rsidR="00F12724" w:rsidRPr="003A1917">
        <w:rPr>
          <w:i/>
        </w:rPr>
        <w:t xml:space="preserve">obce </w:t>
      </w:r>
      <w:r w:rsidR="00A9472E" w:rsidRPr="003A1917">
        <w:rPr>
          <w:bCs/>
          <w:i/>
        </w:rPr>
        <w:t>Velké Březno</w:t>
      </w:r>
      <w:r w:rsidR="001D0156" w:rsidRPr="003A1917">
        <w:rPr>
          <w:b/>
          <w:bCs/>
          <w:i/>
        </w:rPr>
        <w:t xml:space="preserve"> </w:t>
      </w:r>
      <w:r w:rsidRPr="003A1917">
        <w:rPr>
          <w:i/>
        </w:rPr>
        <w:t xml:space="preserve">se na svém zasedání dne </w:t>
      </w:r>
      <w:r w:rsidR="002E359B">
        <w:rPr>
          <w:i/>
        </w:rPr>
        <w:t>12</w:t>
      </w:r>
      <w:r w:rsidR="003A1917">
        <w:rPr>
          <w:i/>
        </w:rPr>
        <w:t>. prosince 2022</w:t>
      </w:r>
      <w:r w:rsidR="0072122F" w:rsidRPr="003A1917">
        <w:rPr>
          <w:i/>
        </w:rPr>
        <w:t xml:space="preserve"> </w:t>
      </w:r>
      <w:r w:rsidRPr="003A1917">
        <w:rPr>
          <w:i/>
        </w:rPr>
        <w:t xml:space="preserve">usneslo </w:t>
      </w:r>
      <w:r w:rsidR="00DF5A23" w:rsidRPr="003A1917">
        <w:rPr>
          <w:i/>
        </w:rPr>
        <w:t>usnesením č.</w:t>
      </w:r>
      <w:r w:rsidR="004E5892" w:rsidRPr="003A1917">
        <w:rPr>
          <w:i/>
        </w:rPr>
        <w:t> </w:t>
      </w:r>
      <w:r w:rsidR="00FA271F">
        <w:rPr>
          <w:i/>
        </w:rPr>
        <w:t>32</w:t>
      </w:r>
      <w:bookmarkStart w:id="0" w:name="_GoBack"/>
      <w:bookmarkEnd w:id="0"/>
      <w:r w:rsidR="00A95F29" w:rsidRPr="003A1917">
        <w:rPr>
          <w:i/>
        </w:rPr>
        <w:t>/202</w:t>
      </w:r>
      <w:r w:rsidR="003A1917" w:rsidRPr="003A1917">
        <w:rPr>
          <w:i/>
        </w:rPr>
        <w:t>2</w:t>
      </w:r>
      <w:r w:rsidR="00DF5A23" w:rsidRPr="003A1917">
        <w:rPr>
          <w:i/>
        </w:rPr>
        <w:t xml:space="preserve"> </w:t>
      </w:r>
      <w:r w:rsidRPr="003A1917">
        <w:rPr>
          <w:i/>
        </w:rPr>
        <w:t>vydat na</w:t>
      </w:r>
      <w:r w:rsidR="00E463B9" w:rsidRPr="003A1917">
        <w:rPr>
          <w:i/>
        </w:rPr>
        <w:t> </w:t>
      </w:r>
      <w:r w:rsidRPr="003A1917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 w:rsidRPr="003A1917">
        <w:rPr>
          <w:i/>
        </w:rPr>
        <w:t> </w:t>
      </w:r>
      <w:r w:rsidRPr="003A1917">
        <w:rPr>
          <w:i/>
        </w:rPr>
        <w:t>ustanovením § 10 písm. d) a</w:t>
      </w:r>
      <w:r w:rsidR="00E463B9" w:rsidRPr="003A1917">
        <w:rPr>
          <w:i/>
        </w:rPr>
        <w:t> </w:t>
      </w:r>
      <w:r w:rsidRPr="003A1917">
        <w:rPr>
          <w:i/>
        </w:rPr>
        <w:t>§ 84 odst. 2 písm. h) zákona č.</w:t>
      </w:r>
      <w:r w:rsidR="006C2CF0" w:rsidRPr="003A1917">
        <w:rPr>
          <w:i/>
        </w:rPr>
        <w:t> </w:t>
      </w:r>
      <w:r w:rsidRPr="003A1917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A9472E">
        <w:t>Velké Březno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:rsidR="00561E02" w:rsidRPr="00A9472E" w:rsidRDefault="00561E02" w:rsidP="00561E02">
      <w:pPr>
        <w:tabs>
          <w:tab w:val="left" w:pos="3780"/>
        </w:tabs>
        <w:jc w:val="center"/>
        <w:rPr>
          <w:b/>
        </w:rPr>
      </w:pPr>
      <w:r w:rsidRPr="00A9472E">
        <w:rPr>
          <w:b/>
        </w:rPr>
        <w:t>Ohlašovací povinnost</w:t>
      </w:r>
    </w:p>
    <w:p w:rsidR="00561E02" w:rsidRPr="00A9472E" w:rsidRDefault="00561E02" w:rsidP="00561E02">
      <w:pPr>
        <w:tabs>
          <w:tab w:val="left" w:pos="3780"/>
        </w:tabs>
        <w:jc w:val="both"/>
      </w:pPr>
    </w:p>
    <w:p w:rsidR="00814C64" w:rsidRPr="00A9472E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A9472E">
        <w:t xml:space="preserve">Poplatník je povinen podat správci poplatku ohlášení do </w:t>
      </w:r>
      <w:r w:rsidR="00A9472E" w:rsidRPr="00A9472E">
        <w:t>15</w:t>
      </w:r>
      <w:r w:rsidRPr="00A9472E">
        <w:t xml:space="preserve"> dnů od vzniku poplatkové povinnosti. Ve stejné lhůtě se ohlašuje nárok na osvobození</w:t>
      </w:r>
      <w:r w:rsidR="00420424" w:rsidRPr="00A9472E">
        <w:t xml:space="preserve"> nebo úlev</w:t>
      </w:r>
      <w:r w:rsidR="00835206" w:rsidRPr="00A9472E">
        <w:t>u</w:t>
      </w:r>
      <w:r w:rsidRPr="00A9472E">
        <w:t xml:space="preserve">, existoval-li důvod osvobození </w:t>
      </w:r>
      <w:r w:rsidR="00420424" w:rsidRPr="00A9472E">
        <w:t xml:space="preserve">nebo úlevy </w:t>
      </w:r>
      <w:r w:rsidRPr="00A9472E">
        <w:t>v okamžiku vzniku poplatkové povinnosti.</w:t>
      </w:r>
    </w:p>
    <w:p w:rsidR="00814C64" w:rsidRPr="00A9472E" w:rsidRDefault="00106F2B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br w:type="page"/>
      </w:r>
      <w:r w:rsidR="00814C64" w:rsidRPr="00A9472E">
        <w:lastRenderedPageBreak/>
        <w:t>Obsah ohlášení upravuje zákon.</w:t>
      </w:r>
      <w:r w:rsidR="00814C64" w:rsidRPr="00A9472E">
        <w:rPr>
          <w:rStyle w:val="Znakapoznpodarou"/>
        </w:rPr>
        <w:footnoteReference w:id="6"/>
      </w:r>
      <w:r w:rsidR="00814C64" w:rsidRPr="00A9472E">
        <w:rPr>
          <w:szCs w:val="24"/>
          <w:vertAlign w:val="superscript"/>
        </w:rPr>
        <w:t>)</w:t>
      </w:r>
    </w:p>
    <w:p w:rsidR="00814C64" w:rsidRPr="00A9472E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A9472E">
        <w:rPr>
          <w:bCs/>
          <w:szCs w:val="24"/>
        </w:rPr>
        <w:t>Postup při změně</w:t>
      </w:r>
      <w:r w:rsidRPr="00A9472E">
        <w:rPr>
          <w:rStyle w:val="Znakapoznpodarou"/>
          <w:bCs/>
          <w:szCs w:val="24"/>
        </w:rPr>
        <w:footnoteReference w:id="7"/>
      </w:r>
      <w:r w:rsidRPr="00A9472E">
        <w:rPr>
          <w:bCs/>
          <w:szCs w:val="24"/>
          <w:vertAlign w:val="superscript"/>
        </w:rPr>
        <w:t>)</w:t>
      </w:r>
      <w:r w:rsidRPr="00A9472E">
        <w:rPr>
          <w:bCs/>
          <w:szCs w:val="24"/>
        </w:rPr>
        <w:t xml:space="preserve"> údajů uvedených v ohlášení upravuje zákon.</w:t>
      </w:r>
      <w:r w:rsidRPr="00A9472E">
        <w:rPr>
          <w:rStyle w:val="Znakapoznpodarou"/>
          <w:bCs/>
          <w:szCs w:val="24"/>
        </w:rPr>
        <w:footnoteReference w:id="8"/>
      </w:r>
      <w:r w:rsidRPr="00A9472E">
        <w:rPr>
          <w:bCs/>
          <w:szCs w:val="24"/>
          <w:vertAlign w:val="superscript"/>
        </w:rPr>
        <w:t>)</w:t>
      </w:r>
      <w:r w:rsidRPr="00A9472E"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A9472E">
        <w:rPr>
          <w:sz w:val="23"/>
          <w:szCs w:val="23"/>
        </w:rPr>
        <w:t xml:space="preserve">Důsledky nesplnění ohlašovací povinnosti ke vzniku osvobození </w:t>
      </w:r>
      <w:r w:rsidR="00B8601B" w:rsidRPr="00A9472E">
        <w:t>nebo úlevy</w:t>
      </w:r>
      <w:r w:rsidR="00B8601B" w:rsidRPr="00A9472E">
        <w:rPr>
          <w:sz w:val="23"/>
          <w:szCs w:val="23"/>
        </w:rPr>
        <w:t xml:space="preserve"> </w:t>
      </w:r>
      <w:r w:rsidRPr="00A9472E">
        <w:rPr>
          <w:sz w:val="23"/>
          <w:szCs w:val="23"/>
        </w:rPr>
        <w:t>stanoví zákon</w:t>
      </w:r>
      <w:r w:rsidRPr="00476544">
        <w:rPr>
          <w:sz w:val="23"/>
          <w:szCs w:val="23"/>
        </w:rPr>
        <w:t>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3A1917">
        <w:rPr>
          <w:b/>
        </w:rPr>
        <w:t>750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377C5E" w:rsidRPr="00A9472E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A9472E">
        <w:rPr>
          <w:color w:val="000000"/>
        </w:rPr>
        <w:t xml:space="preserve">V případě úlevy </w:t>
      </w:r>
      <w:r w:rsidR="00377C5E" w:rsidRPr="00A9472E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:rsidR="003A13D9" w:rsidRPr="00A9472E" w:rsidRDefault="003A13D9" w:rsidP="003A13D9"/>
    <w:p w:rsidR="00814C64" w:rsidRPr="00A9472E" w:rsidRDefault="00814C64" w:rsidP="00814C64">
      <w:pPr>
        <w:pStyle w:val="Zkladntext"/>
        <w:spacing w:after="0"/>
        <w:jc w:val="center"/>
        <w:rPr>
          <w:b/>
          <w:bCs/>
        </w:rPr>
      </w:pPr>
      <w:r w:rsidRPr="00A9472E">
        <w:rPr>
          <w:b/>
          <w:bCs/>
        </w:rPr>
        <w:t>Článek 5</w:t>
      </w:r>
    </w:p>
    <w:p w:rsidR="00814C64" w:rsidRPr="00A9472E" w:rsidRDefault="00814C64" w:rsidP="00814C64">
      <w:pPr>
        <w:pStyle w:val="Zkladntext"/>
        <w:spacing w:after="0"/>
        <w:jc w:val="center"/>
        <w:rPr>
          <w:b/>
          <w:bCs/>
        </w:rPr>
      </w:pPr>
      <w:r w:rsidRPr="00A9472E">
        <w:rPr>
          <w:b/>
          <w:bCs/>
        </w:rPr>
        <w:t>Osvobození a úlevy</w:t>
      </w:r>
    </w:p>
    <w:p w:rsidR="00814C64" w:rsidRPr="00A9472E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9472E" w:rsidRDefault="00814C64" w:rsidP="00814C64">
      <w:pPr>
        <w:pStyle w:val="Zkladntext"/>
        <w:numPr>
          <w:ilvl w:val="0"/>
          <w:numId w:val="34"/>
        </w:numPr>
        <w:spacing w:after="0"/>
      </w:pPr>
      <w:r w:rsidRPr="00A9472E">
        <w:t>Důvody osvobození od poplatku stanoví zákon.</w:t>
      </w:r>
      <w:r w:rsidR="006C2CF0" w:rsidRPr="00A9472E">
        <w:rPr>
          <w:rStyle w:val="Znakapoznpodarou"/>
        </w:rPr>
        <w:footnoteReference w:id="11"/>
      </w:r>
      <w:r w:rsidR="006C2CF0" w:rsidRPr="00A9472E">
        <w:rPr>
          <w:vertAlign w:val="superscript"/>
        </w:rPr>
        <w:t>)</w:t>
      </w:r>
    </w:p>
    <w:p w:rsidR="00FA2706" w:rsidRPr="00A9472E" w:rsidRDefault="00FA2706" w:rsidP="00E95FA0">
      <w:pPr>
        <w:numPr>
          <w:ilvl w:val="0"/>
          <w:numId w:val="34"/>
        </w:numPr>
        <w:jc w:val="both"/>
      </w:pPr>
      <w:r w:rsidRPr="00A9472E">
        <w:lastRenderedPageBreak/>
        <w:t>Od poplatku se dále touto vyhláškou</w:t>
      </w:r>
      <w:r w:rsidRPr="00A9472E">
        <w:rPr>
          <w:rStyle w:val="Znakapoznpodarou"/>
        </w:rPr>
        <w:footnoteReference w:id="12"/>
      </w:r>
      <w:r w:rsidRPr="00A9472E">
        <w:rPr>
          <w:vertAlign w:val="superscript"/>
        </w:rPr>
        <w:t>)</w:t>
      </w:r>
      <w:r w:rsidRPr="00A9472E">
        <w:t xml:space="preserve"> osvobozují na dobu trvání důvodu osvobození </w:t>
      </w:r>
      <w:r w:rsidR="00A9472E" w:rsidRPr="00A9472E">
        <w:t>poplatníci déle než 6 po sobě jdoucích měsíců:</w:t>
      </w:r>
    </w:p>
    <w:p w:rsidR="00A9472E" w:rsidRPr="00654779" w:rsidRDefault="00A9472E" w:rsidP="00A9472E">
      <w:pPr>
        <w:numPr>
          <w:ilvl w:val="1"/>
          <w:numId w:val="34"/>
        </w:numPr>
        <w:tabs>
          <w:tab w:val="left" w:pos="3780"/>
        </w:tabs>
        <w:jc w:val="both"/>
      </w:pPr>
      <w:r w:rsidRPr="00A9472E">
        <w:t>umístění ve zdravotnických zařízeních nebo zařízeních</w:t>
      </w:r>
      <w:r w:rsidRPr="00654779">
        <w:t xml:space="preserve"> sociálních služeb,</w:t>
      </w:r>
    </w:p>
    <w:p w:rsidR="00A9472E" w:rsidRPr="00654779" w:rsidRDefault="00A9472E" w:rsidP="00A9472E">
      <w:pPr>
        <w:numPr>
          <w:ilvl w:val="1"/>
          <w:numId w:val="34"/>
        </w:numPr>
        <w:tabs>
          <w:tab w:val="left" w:pos="3780"/>
        </w:tabs>
        <w:jc w:val="both"/>
      </w:pPr>
      <w:r w:rsidRPr="00654779">
        <w:t>pobývající v</w:t>
      </w:r>
      <w:r>
        <w:t> </w:t>
      </w:r>
      <w:r w:rsidRPr="00654779">
        <w:t>z</w:t>
      </w:r>
      <w:r>
        <w:t>ahraničí.</w:t>
      </w:r>
    </w:p>
    <w:p w:rsidR="00A9472E" w:rsidRPr="00654779" w:rsidRDefault="00A9472E" w:rsidP="00A9472E">
      <w:pPr>
        <w:pStyle w:val="Zkladntext"/>
        <w:numPr>
          <w:ilvl w:val="0"/>
          <w:numId w:val="34"/>
        </w:numPr>
        <w:spacing w:after="0"/>
        <w:jc w:val="both"/>
      </w:pPr>
      <w:r w:rsidRPr="00654779">
        <w:t>Dále se touto vyhláškou osvobozují děti, které byly na základě zákona o sociálně-právní ochraně dětí na základě rozhodnutí soudu svěřeny do výchovy jiné fyzické osobě, případně do</w:t>
      </w:r>
      <w:r w:rsidR="00106F2B">
        <w:t> </w:t>
      </w:r>
      <w:r w:rsidRPr="00654779">
        <w:t>náhradní rodinné péče formou pěstounské či předpěstounské péče.</w:t>
      </w:r>
    </w:p>
    <w:p w:rsidR="00A9472E" w:rsidRPr="00654779" w:rsidRDefault="00A9472E" w:rsidP="00A9472E">
      <w:pPr>
        <w:pStyle w:val="Zkladntext"/>
        <w:numPr>
          <w:ilvl w:val="0"/>
          <w:numId w:val="34"/>
        </w:numPr>
        <w:spacing w:after="0"/>
        <w:jc w:val="both"/>
      </w:pPr>
      <w:r w:rsidRPr="00654779">
        <w:t xml:space="preserve">Dále se touto vyhláškou poskytuje úleva na poplatku ve výši </w:t>
      </w:r>
      <w:r w:rsidR="00784916">
        <w:t>375</w:t>
      </w:r>
      <w:r>
        <w:t xml:space="preserve"> Kč za kalendářní rok, nebo příslušná část podle čl. 4 odst. 3 této vyhlášky,</w:t>
      </w:r>
      <w:r w:rsidRPr="00654779">
        <w:t xml:space="preserve"> </w:t>
      </w:r>
      <w:r>
        <w:t>p</w:t>
      </w:r>
      <w:r w:rsidRPr="00654779">
        <w:t>oplatníkovi soustavně se připravujícímu na</w:t>
      </w:r>
      <w:r w:rsidR="00106F2B">
        <w:t> </w:t>
      </w:r>
      <w:r w:rsidRPr="00654779">
        <w:t>budoucí povolání, který je za tímto účelem přechodně ubytován mimo obec Velké Březno.</w:t>
      </w:r>
    </w:p>
    <w:p w:rsidR="00A9472E" w:rsidRDefault="00A9472E" w:rsidP="00A9472E">
      <w:pPr>
        <w:pStyle w:val="Zkladntext"/>
        <w:spacing w:after="0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106F2B" w:rsidRPr="00D11C22" w:rsidRDefault="00106F2B" w:rsidP="005D3DAE">
      <w:pPr>
        <w:pStyle w:val="Zkladntext"/>
        <w:numPr>
          <w:ilvl w:val="0"/>
          <w:numId w:val="37"/>
        </w:numPr>
        <w:spacing w:after="0"/>
        <w:jc w:val="both"/>
      </w:pPr>
      <w:r>
        <w:t xml:space="preserve">Poplatek je splatný </w:t>
      </w:r>
      <w:r w:rsidRPr="005F574D">
        <w:t>jednorázově nejpozději do 3</w:t>
      </w:r>
      <w:r w:rsidR="005D3DAE" w:rsidRPr="005F574D">
        <w:t>0</w:t>
      </w:r>
      <w:r w:rsidRPr="005F574D">
        <w:t xml:space="preserve">. </w:t>
      </w:r>
      <w:r w:rsidR="005D3DAE" w:rsidRPr="005F574D">
        <w:t>6</w:t>
      </w:r>
      <w:r w:rsidRPr="005F574D">
        <w:t>. příslušného kalendářního roku.</w:t>
      </w:r>
      <w:r>
        <w:t xml:space="preserve"> </w:t>
      </w:r>
    </w:p>
    <w:p w:rsidR="00106F2B" w:rsidRPr="00D11C22" w:rsidRDefault="00106F2B" w:rsidP="00106F2B">
      <w:pPr>
        <w:pStyle w:val="Zkladntext"/>
        <w:numPr>
          <w:ilvl w:val="0"/>
          <w:numId w:val="37"/>
        </w:numPr>
        <w:spacing w:after="0"/>
        <w:jc w:val="both"/>
      </w:pPr>
      <w:r w:rsidRPr="00D11C22">
        <w:t xml:space="preserve">V případě vzniku poplatkové povinnosti (nebo zániku osvobození nebo úlevy) po </w:t>
      </w:r>
      <w:r w:rsidR="003F0455" w:rsidRPr="00D11C22">
        <w:t xml:space="preserve">15. </w:t>
      </w:r>
      <w:r w:rsidR="003F0455">
        <w:t>6</w:t>
      </w:r>
      <w:r w:rsidR="003F0455" w:rsidRPr="00D11C22">
        <w:t>. příslušného</w:t>
      </w:r>
      <w:r w:rsidRPr="00D11C22">
        <w:t xml:space="preserve"> kalendářního roku, je poměrná výše poplatku splatná nejpozději do 30 dnů od vzniku poplatkové povinnosti (nebo zániku osvobození nebo úlevy).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106F2B" w:rsidRPr="00814C64" w:rsidRDefault="00106F2B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106F2B" w:rsidRDefault="00A03858" w:rsidP="00561E02">
      <w:pPr>
        <w:tabs>
          <w:tab w:val="left" w:pos="3780"/>
        </w:tabs>
        <w:jc w:val="center"/>
        <w:rPr>
          <w:b/>
        </w:rPr>
      </w:pPr>
      <w:r w:rsidRPr="00106F2B">
        <w:rPr>
          <w:b/>
        </w:rPr>
        <w:t xml:space="preserve">Článek </w:t>
      </w:r>
      <w:r w:rsidR="003317C2" w:rsidRPr="00106F2B">
        <w:rPr>
          <w:b/>
        </w:rPr>
        <w:t>7</w:t>
      </w:r>
      <w:r w:rsidRPr="00106F2B">
        <w:rPr>
          <w:b/>
        </w:rPr>
        <w:br/>
      </w:r>
      <w:r w:rsidR="00561E02" w:rsidRPr="00106F2B">
        <w:rPr>
          <w:b/>
        </w:rPr>
        <w:t>Zrušovací ustanovení</w:t>
      </w:r>
    </w:p>
    <w:p w:rsidR="00561E02" w:rsidRPr="00106F2B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106F2B" w:rsidRDefault="00BC30AA" w:rsidP="005D3DAE">
      <w:pPr>
        <w:tabs>
          <w:tab w:val="left" w:pos="3780"/>
        </w:tabs>
        <w:jc w:val="both"/>
      </w:pPr>
      <w:r w:rsidRPr="00106F2B">
        <w:t>Zrušuje se obecně závazná vyhláška</w:t>
      </w:r>
      <w:r w:rsidR="005D3DAE">
        <w:t xml:space="preserve"> </w:t>
      </w:r>
      <w:r w:rsidRPr="00106F2B">
        <w:t xml:space="preserve">č. </w:t>
      </w:r>
      <w:r w:rsidR="00A9472E" w:rsidRPr="00106F2B">
        <w:t>1/</w:t>
      </w:r>
      <w:r w:rsidR="003A1917">
        <w:t>2021</w:t>
      </w:r>
      <w:r w:rsidRPr="00106F2B">
        <w:t xml:space="preserve">, o místním poplatku </w:t>
      </w:r>
      <w:r w:rsidR="003A1917">
        <w:t>za obecní systém odpadového hospodářství</w:t>
      </w:r>
      <w:r w:rsidRPr="00106F2B">
        <w:t xml:space="preserve">, </w:t>
      </w:r>
      <w:r w:rsidR="003317C2" w:rsidRPr="00106F2B">
        <w:t xml:space="preserve">ze dne </w:t>
      </w:r>
      <w:r w:rsidR="003A1917">
        <w:t>13</w:t>
      </w:r>
      <w:r w:rsidR="00106F2B" w:rsidRPr="00106F2B">
        <w:t>. 12.</w:t>
      </w:r>
      <w:r w:rsidR="003317C2" w:rsidRPr="00106F2B">
        <w:t xml:space="preserve"> </w:t>
      </w:r>
      <w:r w:rsidR="00A9472E" w:rsidRPr="00106F2B">
        <w:t>202</w:t>
      </w:r>
      <w:r w:rsidR="003A1917">
        <w:t>1</w:t>
      </w:r>
      <w:r w:rsidR="00A9472E" w:rsidRPr="00106F2B">
        <w:t>.</w:t>
      </w:r>
    </w:p>
    <w:p w:rsidR="00561E02" w:rsidRPr="00814C6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3317C2" w:rsidRPr="00814C64">
        <w:rPr>
          <w:b/>
        </w:rPr>
        <w:t>8</w:t>
      </w:r>
    </w:p>
    <w:p w:rsidR="00561E02" w:rsidRPr="00814C64" w:rsidRDefault="00561E02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1A2E6D" w:rsidRPr="00A9472E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A9472E">
        <w:rPr>
          <w:rFonts w:ascii="Times New Roman" w:hAnsi="Times New Roman" w:cs="Times New Roman"/>
        </w:rPr>
        <w:t xml:space="preserve">Tato vyhláška nabývá účinnosti </w:t>
      </w:r>
      <w:r w:rsidR="00DF5A23" w:rsidRPr="00A9472E">
        <w:rPr>
          <w:rFonts w:ascii="Times New Roman" w:hAnsi="Times New Roman" w:cs="Times New Roman"/>
        </w:rPr>
        <w:t xml:space="preserve">dnem 1. 1. </w:t>
      </w:r>
      <w:r w:rsidR="003A1917">
        <w:rPr>
          <w:rFonts w:ascii="Times New Roman" w:hAnsi="Times New Roman" w:cs="Times New Roman"/>
        </w:rPr>
        <w:t>2023</w:t>
      </w:r>
      <w:r w:rsidR="00782B38">
        <w:rPr>
          <w:rFonts w:ascii="Times New Roman" w:hAnsi="Times New Roman" w:cs="Times New Roman"/>
        </w:rPr>
        <w:t>.</w:t>
      </w:r>
    </w:p>
    <w:p w:rsidR="00A03858" w:rsidRPr="00A9472E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106F2B" w:rsidRDefault="00106F2B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106F2B" w:rsidRDefault="00106F2B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F574D" w:rsidRPr="00A9472E" w:rsidRDefault="005F574D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A9472E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A9472E" w:rsidTr="00042CE4">
        <w:trPr>
          <w:trHeight w:val="80"/>
          <w:jc w:val="center"/>
        </w:trPr>
        <w:tc>
          <w:tcPr>
            <w:tcW w:w="4605" w:type="dxa"/>
          </w:tcPr>
          <w:p w:rsidR="004432C5" w:rsidRPr="00A9472E" w:rsidRDefault="003A1917" w:rsidP="00042CE4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:rsidR="004432C5" w:rsidRPr="00A9472E" w:rsidRDefault="003A1917" w:rsidP="00042CE4">
            <w:pPr>
              <w:jc w:val="center"/>
            </w:pPr>
            <w:r>
              <w:t>_______________________________</w:t>
            </w:r>
          </w:p>
        </w:tc>
      </w:tr>
      <w:tr w:rsidR="004432C5" w:rsidRPr="00814C64" w:rsidTr="00A9472E">
        <w:trPr>
          <w:trHeight w:val="68"/>
          <w:jc w:val="center"/>
        </w:trPr>
        <w:tc>
          <w:tcPr>
            <w:tcW w:w="4605" w:type="dxa"/>
          </w:tcPr>
          <w:p w:rsidR="004432C5" w:rsidRPr="00A9472E" w:rsidRDefault="003A1917" w:rsidP="00042CE4">
            <w:pPr>
              <w:jc w:val="center"/>
            </w:pPr>
            <w:r>
              <w:t>Mgr. Michal Kulhánek, v. r.</w:t>
            </w:r>
          </w:p>
          <w:p w:rsidR="004432C5" w:rsidRPr="00A9472E" w:rsidRDefault="004432C5" w:rsidP="00814C64">
            <w:pPr>
              <w:jc w:val="center"/>
            </w:pPr>
            <w:r w:rsidRPr="00A9472E">
              <w:t>místostarosta</w:t>
            </w:r>
          </w:p>
        </w:tc>
        <w:tc>
          <w:tcPr>
            <w:tcW w:w="4605" w:type="dxa"/>
          </w:tcPr>
          <w:p w:rsidR="00814C64" w:rsidRPr="00A9472E" w:rsidRDefault="003A1917" w:rsidP="00814C64">
            <w:pPr>
              <w:jc w:val="center"/>
            </w:pPr>
            <w:r>
              <w:t>Zuzana Mendlová, DiS., v. r.</w:t>
            </w:r>
          </w:p>
          <w:p w:rsidR="004432C5" w:rsidRPr="00814C64" w:rsidRDefault="004432C5" w:rsidP="00042CE4">
            <w:pPr>
              <w:jc w:val="center"/>
            </w:pPr>
            <w:r w:rsidRPr="00A9472E">
              <w:t>starost</w:t>
            </w:r>
            <w:r w:rsidR="003A1917">
              <w:t>k</w:t>
            </w:r>
            <w:r w:rsidRPr="00A9472E">
              <w:t>a</w:t>
            </w:r>
          </w:p>
        </w:tc>
      </w:tr>
    </w:tbl>
    <w:p w:rsidR="005D4B6F" w:rsidRDefault="005D4B6F" w:rsidP="004432C5"/>
    <w:p w:rsidR="005F574D" w:rsidRDefault="005F574D" w:rsidP="004432C5"/>
    <w:p w:rsidR="00FA44A1" w:rsidRPr="00561E02" w:rsidRDefault="00FA44A1" w:rsidP="00276971"/>
    <w:sectPr w:rsidR="00FA44A1" w:rsidRPr="00561E02" w:rsidSect="005F57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E67" w:rsidRDefault="00940E67">
      <w:r>
        <w:separator/>
      </w:r>
    </w:p>
  </w:endnote>
  <w:endnote w:type="continuationSeparator" w:id="0">
    <w:p w:rsidR="00940E67" w:rsidRDefault="0094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E67" w:rsidRDefault="00940E67">
      <w:r>
        <w:separator/>
      </w:r>
    </w:p>
  </w:footnote>
  <w:footnote w:type="continuationSeparator" w:id="0">
    <w:p w:rsidR="00940E67" w:rsidRDefault="00940E67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r w:rsidR="003F0455">
        <w:rPr>
          <w:i/>
          <w:sz w:val="20"/>
          <w:szCs w:val="20"/>
        </w:rPr>
        <w:t>kalendářní rok</w:t>
      </w:r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2">
    <w:p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06F2B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358E5"/>
    <w:rsid w:val="002406DC"/>
    <w:rsid w:val="00242644"/>
    <w:rsid w:val="00246596"/>
    <w:rsid w:val="00251974"/>
    <w:rsid w:val="00255DE2"/>
    <w:rsid w:val="00266882"/>
    <w:rsid w:val="00276971"/>
    <w:rsid w:val="0028494E"/>
    <w:rsid w:val="00285BAE"/>
    <w:rsid w:val="002E359B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92140"/>
    <w:rsid w:val="003A13D9"/>
    <w:rsid w:val="003A1917"/>
    <w:rsid w:val="003A2121"/>
    <w:rsid w:val="003A4107"/>
    <w:rsid w:val="003A68C8"/>
    <w:rsid w:val="003B3982"/>
    <w:rsid w:val="003C5AF9"/>
    <w:rsid w:val="003D4103"/>
    <w:rsid w:val="003E521E"/>
    <w:rsid w:val="003F0455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C127C"/>
    <w:rsid w:val="004D11FF"/>
    <w:rsid w:val="004D1231"/>
    <w:rsid w:val="004D40B8"/>
    <w:rsid w:val="004D67E6"/>
    <w:rsid w:val="004E5892"/>
    <w:rsid w:val="004F181D"/>
    <w:rsid w:val="004F2D92"/>
    <w:rsid w:val="005039AA"/>
    <w:rsid w:val="00503EAD"/>
    <w:rsid w:val="00506983"/>
    <w:rsid w:val="00506D02"/>
    <w:rsid w:val="005073A5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3DAE"/>
    <w:rsid w:val="005D48D6"/>
    <w:rsid w:val="005D4B6F"/>
    <w:rsid w:val="005F235B"/>
    <w:rsid w:val="005F3CD2"/>
    <w:rsid w:val="005F574D"/>
    <w:rsid w:val="005F7D45"/>
    <w:rsid w:val="00600042"/>
    <w:rsid w:val="00610E75"/>
    <w:rsid w:val="0062581F"/>
    <w:rsid w:val="00633279"/>
    <w:rsid w:val="00634954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82B38"/>
    <w:rsid w:val="00784916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0E67"/>
    <w:rsid w:val="00941400"/>
    <w:rsid w:val="009420BF"/>
    <w:rsid w:val="00961EE9"/>
    <w:rsid w:val="009651DA"/>
    <w:rsid w:val="00995572"/>
    <w:rsid w:val="00996C45"/>
    <w:rsid w:val="0099764F"/>
    <w:rsid w:val="009A1C5A"/>
    <w:rsid w:val="009A22F8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9472E"/>
    <w:rsid w:val="00A95F29"/>
    <w:rsid w:val="00AA14F8"/>
    <w:rsid w:val="00AB670D"/>
    <w:rsid w:val="00AD103E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8749F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271F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A0E9A"/>
  <w15:chartTrackingRefBased/>
  <w15:docId w15:val="{983E126A-7EDE-48A2-B977-391551B0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7401-8208-46D3-837F-F6B055A0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</cp:lastModifiedBy>
  <cp:revision>6</cp:revision>
  <cp:lastPrinted>2017-12-12T08:42:00Z</cp:lastPrinted>
  <dcterms:created xsi:type="dcterms:W3CDTF">2022-11-23T08:29:00Z</dcterms:created>
  <dcterms:modified xsi:type="dcterms:W3CDTF">2022-12-13T06:55:00Z</dcterms:modified>
</cp:coreProperties>
</file>