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78B" w:rsidRDefault="00A1178B" w:rsidP="00A1178B">
      <w:pPr>
        <w:rPr>
          <w:b/>
          <w:bCs/>
          <w:sz w:val="26"/>
          <w:szCs w:val="26"/>
        </w:rPr>
      </w:pPr>
    </w:p>
    <w:p w:rsidR="00A1178B" w:rsidRDefault="00A1178B" w:rsidP="00A1178B">
      <w:pPr>
        <w:jc w:val="center"/>
      </w:pPr>
      <w:r>
        <w:rPr>
          <w:rFonts w:ascii="Arial" w:hAnsi="Arial" w:cs="Arial"/>
          <w:b/>
          <w:bCs/>
          <w:noProof/>
          <w:spacing w:val="4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01AF16" wp14:editId="4DA690F8">
            <wp:simplePos x="0" y="0"/>
            <wp:positionH relativeFrom="margin">
              <wp:align>center</wp:align>
            </wp:positionH>
            <wp:positionV relativeFrom="paragraph">
              <wp:posOffset>8257</wp:posOffset>
            </wp:positionV>
            <wp:extent cx="1003297" cy="1003297"/>
            <wp:effectExtent l="0" t="0" r="6353" b="6353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297" cy="100329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1178B" w:rsidRDefault="00A1178B" w:rsidP="00A1178B">
      <w:pPr>
        <w:jc w:val="center"/>
        <w:rPr>
          <w:b/>
          <w:bCs/>
          <w:sz w:val="26"/>
          <w:szCs w:val="26"/>
        </w:rPr>
      </w:pPr>
    </w:p>
    <w:p w:rsidR="00A1178B" w:rsidRDefault="00A1178B" w:rsidP="00A1178B">
      <w:pPr>
        <w:jc w:val="center"/>
        <w:rPr>
          <w:b/>
          <w:bCs/>
          <w:sz w:val="26"/>
          <w:szCs w:val="26"/>
        </w:rPr>
      </w:pPr>
    </w:p>
    <w:p w:rsidR="00A1178B" w:rsidRDefault="00A1178B" w:rsidP="00A1178B">
      <w:pPr>
        <w:jc w:val="center"/>
        <w:rPr>
          <w:b/>
          <w:bCs/>
          <w:color w:val="0070C0"/>
          <w:sz w:val="26"/>
          <w:szCs w:val="26"/>
        </w:rPr>
      </w:pPr>
    </w:p>
    <w:p w:rsidR="00A1178B" w:rsidRDefault="00A1178B" w:rsidP="00A1178B">
      <w:pPr>
        <w:jc w:val="center"/>
        <w:rPr>
          <w:b/>
          <w:bCs/>
          <w:color w:val="0070C0"/>
          <w:sz w:val="26"/>
          <w:szCs w:val="26"/>
        </w:rPr>
      </w:pPr>
    </w:p>
    <w:p w:rsidR="00A1178B" w:rsidRDefault="00A1178B" w:rsidP="00A1178B">
      <w:pPr>
        <w:jc w:val="center"/>
        <w:rPr>
          <w:b/>
          <w:bCs/>
          <w:color w:val="0070C0"/>
          <w:sz w:val="26"/>
          <w:szCs w:val="26"/>
        </w:rPr>
      </w:pPr>
    </w:p>
    <w:p w:rsidR="00A1178B" w:rsidRDefault="00A1178B" w:rsidP="00A1178B">
      <w:pPr>
        <w:jc w:val="center"/>
        <w:rPr>
          <w:b/>
          <w:bCs/>
          <w:color w:val="0070C0"/>
          <w:sz w:val="26"/>
          <w:szCs w:val="26"/>
        </w:rPr>
      </w:pPr>
    </w:p>
    <w:p w:rsidR="00A1178B" w:rsidRDefault="00A1178B" w:rsidP="00A1178B">
      <w:pPr>
        <w:jc w:val="center"/>
        <w:rPr>
          <w:rFonts w:ascii="Arial" w:hAnsi="Arial" w:cs="Arial"/>
          <w:b/>
          <w:bCs/>
          <w:color w:val="002060"/>
          <w:sz w:val="40"/>
          <w:szCs w:val="40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>OBEC BĚLÁ U JEVÍČKA</w:t>
      </w:r>
    </w:p>
    <w:p w:rsidR="00A1178B" w:rsidRDefault="00A1178B" w:rsidP="00A1178B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Zastupitelstvo obce Bělá u Jevíčka</w:t>
      </w:r>
    </w:p>
    <w:p w:rsidR="00A1178B" w:rsidRDefault="00A1178B" w:rsidP="00A1178B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Bělá u Jevíčka 7, 569 43 Bělá u Jevíčka</w:t>
      </w:r>
    </w:p>
    <w:p w:rsidR="00A1178B" w:rsidRDefault="00A1178B" w:rsidP="00A1178B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:rsidR="00A1178B" w:rsidRPr="00A1178B" w:rsidRDefault="00A1178B" w:rsidP="00A1178B">
      <w:pPr>
        <w:jc w:val="center"/>
        <w:rPr>
          <w:b/>
        </w:rPr>
      </w:pPr>
    </w:p>
    <w:p w:rsidR="005545D7" w:rsidRPr="00A1178B" w:rsidRDefault="005060B2" w:rsidP="00A1178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B32E3">
        <w:rPr>
          <w:rFonts w:ascii="Arial" w:hAnsi="Arial" w:cs="Arial"/>
          <w:b/>
          <w:szCs w:val="24"/>
        </w:rPr>
        <w:t>Obecně závazná vyhláška obce Bělá u Jevíčka</w:t>
      </w: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060B2">
        <w:rPr>
          <w:rFonts w:ascii="Arial" w:hAnsi="Arial" w:cs="Arial"/>
          <w:sz w:val="22"/>
          <w:szCs w:val="22"/>
        </w:rPr>
        <w:t>Bělá u Jevíčka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D44A34">
        <w:rPr>
          <w:rFonts w:ascii="Arial" w:hAnsi="Arial" w:cs="Arial"/>
          <w:sz w:val="22"/>
          <w:szCs w:val="22"/>
        </w:rPr>
        <w:t xml:space="preserve"> 22. listopadu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60B2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5060B2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5060B2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5060B2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5545D7" w:rsidRPr="005060B2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5545D7" w:rsidRPr="005060B2" w:rsidRDefault="005545D7" w:rsidP="005060B2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060B2">
        <w:rPr>
          <w:rFonts w:ascii="Arial" w:hAnsi="Arial" w:cs="Arial"/>
          <w:sz w:val="22"/>
          <w:szCs w:val="22"/>
        </w:rPr>
        <w:t>1) Doba nočního klidu</w:t>
      </w:r>
      <w:r w:rsidR="00107BCE" w:rsidRPr="005060B2">
        <w:rPr>
          <w:rFonts w:ascii="Arial" w:hAnsi="Arial" w:cs="Arial"/>
          <w:sz w:val="22"/>
          <w:szCs w:val="22"/>
        </w:rPr>
        <w:t xml:space="preserve"> </w:t>
      </w:r>
      <w:r w:rsidR="00987A7F" w:rsidRPr="005060B2">
        <w:rPr>
          <w:rFonts w:ascii="Arial" w:hAnsi="Arial" w:cs="Arial"/>
          <w:sz w:val="22"/>
          <w:szCs w:val="22"/>
        </w:rPr>
        <w:t>nemusí být dodrž</w:t>
      </w:r>
      <w:r w:rsidR="00887BCF" w:rsidRPr="005060B2">
        <w:rPr>
          <w:rFonts w:ascii="Arial" w:hAnsi="Arial" w:cs="Arial"/>
          <w:sz w:val="22"/>
          <w:szCs w:val="22"/>
        </w:rPr>
        <w:t>ována</w:t>
      </w:r>
      <w:r w:rsidR="005060B2" w:rsidRPr="005060B2">
        <w:rPr>
          <w:rFonts w:ascii="Arial" w:hAnsi="Arial" w:cs="Arial"/>
          <w:sz w:val="22"/>
          <w:szCs w:val="22"/>
        </w:rPr>
        <w:t xml:space="preserve"> </w:t>
      </w:r>
      <w:r w:rsidRPr="005060B2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5060B2">
        <w:rPr>
          <w:rFonts w:ascii="Arial" w:hAnsi="Arial" w:cs="Arial"/>
          <w:sz w:val="22"/>
          <w:szCs w:val="22"/>
        </w:rPr>
        <w:t>l</w:t>
      </w:r>
      <w:r w:rsidRPr="005060B2">
        <w:rPr>
          <w:rFonts w:ascii="Arial" w:hAnsi="Arial" w:cs="Arial"/>
          <w:sz w:val="22"/>
          <w:szCs w:val="22"/>
        </w:rPr>
        <w:t>edna</w:t>
      </w:r>
      <w:r w:rsidR="00887BCF" w:rsidRPr="005060B2">
        <w:rPr>
          <w:rFonts w:ascii="Arial" w:hAnsi="Arial" w:cs="Arial"/>
          <w:sz w:val="22"/>
          <w:szCs w:val="22"/>
        </w:rPr>
        <w:t xml:space="preserve"> z důvodu </w:t>
      </w:r>
      <w:r w:rsidR="00F21B18" w:rsidRPr="005060B2">
        <w:rPr>
          <w:rFonts w:ascii="Arial" w:hAnsi="Arial" w:cs="Arial"/>
          <w:sz w:val="22"/>
          <w:szCs w:val="22"/>
        </w:rPr>
        <w:t>konání oslav příchodu nového roku</w:t>
      </w:r>
      <w:r w:rsidR="005060B2" w:rsidRPr="005060B2">
        <w:rPr>
          <w:rFonts w:ascii="Arial" w:hAnsi="Arial" w:cs="Arial"/>
          <w:sz w:val="22"/>
          <w:szCs w:val="22"/>
        </w:rPr>
        <w:t>.</w:t>
      </w:r>
    </w:p>
    <w:p w:rsidR="005545D7" w:rsidRPr="005060B2" w:rsidRDefault="005060B2" w:rsidP="005060B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060B2">
        <w:rPr>
          <w:rFonts w:ascii="Arial" w:hAnsi="Arial" w:cs="Arial"/>
          <w:sz w:val="22"/>
          <w:szCs w:val="22"/>
        </w:rPr>
        <w:t>2</w:t>
      </w:r>
      <w:r w:rsidR="005545D7" w:rsidRPr="005060B2">
        <w:rPr>
          <w:rFonts w:ascii="Arial" w:hAnsi="Arial" w:cs="Arial"/>
          <w:sz w:val="22"/>
          <w:szCs w:val="22"/>
        </w:rPr>
        <w:t>) Dob</w:t>
      </w:r>
      <w:r w:rsidRPr="005060B2">
        <w:rPr>
          <w:rFonts w:ascii="Arial" w:hAnsi="Arial" w:cs="Arial"/>
          <w:sz w:val="22"/>
          <w:szCs w:val="22"/>
        </w:rPr>
        <w:t>a nočního klidu se vymezuje od 3:00 do 6:00</w:t>
      </w:r>
      <w:r w:rsidR="005545D7" w:rsidRPr="005060B2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:rsidR="005060B2" w:rsidRPr="005060B2" w:rsidRDefault="00E432DB" w:rsidP="005060B2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060B2">
        <w:rPr>
          <w:rFonts w:ascii="Arial" w:hAnsi="Arial" w:cs="Arial"/>
          <w:sz w:val="22"/>
          <w:szCs w:val="22"/>
        </w:rPr>
        <w:t xml:space="preserve">a) v noci </w:t>
      </w:r>
      <w:r w:rsidR="005060B2" w:rsidRPr="005060B2">
        <w:rPr>
          <w:rFonts w:ascii="Arial" w:hAnsi="Arial" w:cs="Arial"/>
          <w:bCs/>
          <w:sz w:val="22"/>
          <w:szCs w:val="22"/>
        </w:rPr>
        <w:t>z 30. dubna na 1. května z důvodu konání akce Pálení čarodějnic,</w:t>
      </w:r>
    </w:p>
    <w:p w:rsidR="005060B2" w:rsidRPr="005060B2" w:rsidRDefault="005060B2" w:rsidP="005060B2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5060B2">
        <w:rPr>
          <w:rFonts w:ascii="Arial" w:hAnsi="Arial" w:cs="Arial"/>
          <w:sz w:val="22"/>
          <w:szCs w:val="22"/>
        </w:rPr>
        <w:lastRenderedPageBreak/>
        <w:t xml:space="preserve">b) </w:t>
      </w:r>
      <w:r w:rsidR="000A0CE6" w:rsidRPr="005060B2">
        <w:rPr>
          <w:rFonts w:ascii="Arial" w:hAnsi="Arial" w:cs="Arial"/>
          <w:sz w:val="22"/>
          <w:szCs w:val="22"/>
        </w:rPr>
        <w:t xml:space="preserve">v noci ze </w:t>
      </w:r>
      <w:r w:rsidR="00A1178B">
        <w:rPr>
          <w:rFonts w:ascii="Arial" w:hAnsi="Arial" w:cs="Arial"/>
          <w:sz w:val="22"/>
          <w:szCs w:val="22"/>
        </w:rPr>
        <w:t xml:space="preserve">soboty na neděli z důvodů </w:t>
      </w:r>
      <w:r w:rsidR="000A0CE6" w:rsidRPr="005060B2">
        <w:rPr>
          <w:rFonts w:ascii="Arial" w:hAnsi="Arial" w:cs="Arial"/>
          <w:sz w:val="22"/>
          <w:szCs w:val="22"/>
        </w:rPr>
        <w:t xml:space="preserve"> konání </w:t>
      </w:r>
      <w:r w:rsidR="00E432DB" w:rsidRPr="005060B2">
        <w:rPr>
          <w:rFonts w:ascii="Arial" w:hAnsi="Arial" w:cs="Arial"/>
          <w:sz w:val="22"/>
          <w:szCs w:val="22"/>
        </w:rPr>
        <w:t xml:space="preserve">tradiční akce </w:t>
      </w:r>
      <w:proofErr w:type="spellStart"/>
      <w:r w:rsidRPr="005060B2">
        <w:rPr>
          <w:rFonts w:ascii="Arial" w:hAnsi="Arial" w:cs="Arial"/>
          <w:bCs/>
          <w:sz w:val="22"/>
          <w:szCs w:val="22"/>
        </w:rPr>
        <w:t>Bělovsko</w:t>
      </w:r>
      <w:proofErr w:type="spellEnd"/>
      <w:r w:rsidRPr="005060B2">
        <w:rPr>
          <w:rFonts w:ascii="Arial" w:hAnsi="Arial" w:cs="Arial"/>
          <w:bCs/>
          <w:sz w:val="22"/>
          <w:szCs w:val="22"/>
        </w:rPr>
        <w:t>-smolenské koštování</w:t>
      </w:r>
      <w:r w:rsidRPr="005060B2">
        <w:rPr>
          <w:rFonts w:ascii="Arial" w:hAnsi="Arial" w:cs="Arial"/>
          <w:sz w:val="22"/>
          <w:szCs w:val="22"/>
        </w:rPr>
        <w:t>,</w:t>
      </w:r>
    </w:p>
    <w:p w:rsidR="00E432DB" w:rsidRPr="005060B2" w:rsidRDefault="005060B2" w:rsidP="005060B2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5060B2">
        <w:rPr>
          <w:rFonts w:ascii="Arial" w:hAnsi="Arial" w:cs="Arial"/>
          <w:sz w:val="22"/>
          <w:szCs w:val="22"/>
        </w:rPr>
        <w:t xml:space="preserve">c) </w:t>
      </w:r>
      <w:r w:rsidR="000A0CE6" w:rsidRPr="005060B2">
        <w:rPr>
          <w:rFonts w:ascii="Arial" w:hAnsi="Arial" w:cs="Arial"/>
          <w:sz w:val="22"/>
          <w:szCs w:val="22"/>
        </w:rPr>
        <w:t xml:space="preserve">v noci </w:t>
      </w:r>
      <w:r w:rsidRPr="005060B2">
        <w:rPr>
          <w:rFonts w:ascii="Arial" w:hAnsi="Arial" w:cs="Arial"/>
          <w:sz w:val="22"/>
          <w:szCs w:val="22"/>
        </w:rPr>
        <w:t xml:space="preserve">ze </w:t>
      </w:r>
      <w:r w:rsidR="00A1178B">
        <w:rPr>
          <w:rFonts w:ascii="Arial" w:hAnsi="Arial" w:cs="Arial"/>
          <w:sz w:val="22"/>
          <w:szCs w:val="22"/>
        </w:rPr>
        <w:t>dne konání</w:t>
      </w:r>
      <w:r w:rsidRPr="005060B2">
        <w:rPr>
          <w:rFonts w:ascii="Arial" w:hAnsi="Arial" w:cs="Arial"/>
          <w:sz w:val="22"/>
          <w:szCs w:val="22"/>
        </w:rPr>
        <w:t xml:space="preserve"> tradiční akce Turnaj v</w:t>
      </w:r>
      <w:r w:rsidR="00A1178B">
        <w:rPr>
          <w:rFonts w:ascii="Arial" w:hAnsi="Arial" w:cs="Arial"/>
          <w:sz w:val="22"/>
          <w:szCs w:val="22"/>
        </w:rPr>
        <w:t> </w:t>
      </w:r>
      <w:proofErr w:type="spellStart"/>
      <w:r w:rsidRPr="005060B2">
        <w:rPr>
          <w:rFonts w:ascii="Arial" w:hAnsi="Arial" w:cs="Arial"/>
          <w:sz w:val="22"/>
          <w:szCs w:val="22"/>
        </w:rPr>
        <w:t>petangue</w:t>
      </w:r>
      <w:proofErr w:type="spellEnd"/>
      <w:r w:rsidR="00A1178B">
        <w:rPr>
          <w:rFonts w:ascii="Arial" w:hAnsi="Arial" w:cs="Arial"/>
          <w:sz w:val="22"/>
          <w:szCs w:val="22"/>
        </w:rPr>
        <w:t xml:space="preserve"> na den následující,</w:t>
      </w:r>
    </w:p>
    <w:p w:rsidR="005060B2" w:rsidRPr="005060B2" w:rsidRDefault="005060B2" w:rsidP="005060B2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5060B2">
        <w:rPr>
          <w:rFonts w:ascii="Arial" w:hAnsi="Arial" w:cs="Arial"/>
          <w:sz w:val="22"/>
          <w:szCs w:val="22"/>
        </w:rPr>
        <w:t>d) v noci ze soboty na neděli v měsíci červenci z důvodu konání tradiční akce Posezení pod lipami,</w:t>
      </w:r>
    </w:p>
    <w:p w:rsidR="005545D7" w:rsidRDefault="005060B2" w:rsidP="005060B2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5060B2">
        <w:rPr>
          <w:rFonts w:ascii="Arial" w:hAnsi="Arial" w:cs="Arial"/>
          <w:sz w:val="22"/>
          <w:szCs w:val="22"/>
        </w:rPr>
        <w:t>e) v noci ze soboty na neděli v měsíci srpnu z důvodu konání tradiční akce Pouťová zábava.</w:t>
      </w:r>
    </w:p>
    <w:p w:rsidR="005060B2" w:rsidRPr="005060B2" w:rsidRDefault="005060B2" w:rsidP="005060B2">
      <w:pP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060B2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5060B2">
        <w:rPr>
          <w:rFonts w:ascii="Arial" w:hAnsi="Arial" w:cs="Arial"/>
          <w:sz w:val="22"/>
          <w:szCs w:val="22"/>
        </w:rPr>
        <w:t>2 písm. b) až e)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5060B2">
        <w:rPr>
          <w:rFonts w:ascii="Arial" w:hAnsi="Arial" w:cs="Arial"/>
          <w:b/>
          <w:sz w:val="22"/>
          <w:szCs w:val="22"/>
        </w:rPr>
        <w:t xml:space="preserve">ávěrečná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060B2" w:rsidRPr="005060B2" w:rsidRDefault="00E34AAF" w:rsidP="004A2CDB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5060B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5060B2">
        <w:rPr>
          <w:rFonts w:ascii="Arial" w:hAnsi="Arial" w:cs="Arial"/>
          <w:sz w:val="22"/>
          <w:szCs w:val="22"/>
        </w:rPr>
        <w:t>obce Bělá u Jevíčka č. 1/2017, o nočním klidu, ze dne 1. června 2017.</w:t>
      </w:r>
    </w:p>
    <w:p w:rsidR="005060B2" w:rsidRPr="005060B2" w:rsidRDefault="005060B2" w:rsidP="005060B2">
      <w:pPr>
        <w:pStyle w:val="Odstavecseseznamem"/>
        <w:spacing w:before="120" w:line="288" w:lineRule="auto"/>
        <w:jc w:val="both"/>
        <w:rPr>
          <w:rFonts w:ascii="Arial" w:hAnsi="Arial" w:cs="Arial"/>
        </w:rPr>
      </w:pPr>
    </w:p>
    <w:p w:rsidR="004A2CDB" w:rsidRPr="00A1178B" w:rsidRDefault="004A2CDB" w:rsidP="004A2CDB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5060B2">
        <w:rPr>
          <w:rFonts w:ascii="Arial" w:hAnsi="Arial" w:cs="Arial"/>
          <w:sz w:val="22"/>
          <w:szCs w:val="22"/>
        </w:rPr>
        <w:t xml:space="preserve">Tato </w:t>
      </w:r>
      <w:r w:rsidR="00DA328A" w:rsidRPr="005060B2">
        <w:rPr>
          <w:rFonts w:ascii="Arial" w:hAnsi="Arial" w:cs="Arial"/>
          <w:sz w:val="22"/>
          <w:szCs w:val="22"/>
        </w:rPr>
        <w:t xml:space="preserve">obecně závazná </w:t>
      </w:r>
      <w:r w:rsidRPr="005060B2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A1178B" w:rsidRDefault="00A1178B" w:rsidP="00A1178B">
      <w:pPr>
        <w:spacing w:before="120" w:line="288" w:lineRule="auto"/>
        <w:jc w:val="both"/>
        <w:rPr>
          <w:rFonts w:ascii="Arial" w:hAnsi="Arial" w:cs="Arial"/>
        </w:rPr>
      </w:pPr>
    </w:p>
    <w:p w:rsidR="00A1178B" w:rsidRPr="00A1178B" w:rsidRDefault="00A1178B" w:rsidP="00A1178B">
      <w:pPr>
        <w:spacing w:before="120" w:line="288" w:lineRule="auto"/>
        <w:jc w:val="both"/>
        <w:rPr>
          <w:rFonts w:ascii="Arial" w:hAnsi="Arial" w:cs="Arial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060B2" w:rsidTr="00613F2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060B2" w:rsidRDefault="005060B2" w:rsidP="00613F25">
            <w:pPr>
              <w:pStyle w:val="PodpisovePole"/>
            </w:pPr>
            <w:r>
              <w:t>Petr Nárožný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060B2" w:rsidRDefault="005060B2" w:rsidP="00613F25">
            <w:pPr>
              <w:pStyle w:val="PodpisovePole"/>
            </w:pPr>
            <w:r>
              <w:t xml:space="preserve">Ing. Ladislav </w:t>
            </w:r>
            <w:proofErr w:type="spellStart"/>
            <w:r>
              <w:t>Ille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:rsidR="00DA328A" w:rsidRPr="00E34AAF" w:rsidRDefault="00DA328A" w:rsidP="005060B2">
      <w:pPr>
        <w:spacing w:after="120"/>
        <w:rPr>
          <w:rFonts w:ascii="Arial" w:hAnsi="Arial" w:cs="Arial"/>
          <w:sz w:val="22"/>
          <w:szCs w:val="22"/>
        </w:rPr>
      </w:pPr>
    </w:p>
    <w:sectPr w:rsidR="00DA328A" w:rsidRPr="00E34AAF" w:rsidSect="00A1178B">
      <w:pgSz w:w="11906" w:h="16838"/>
      <w:pgMar w:top="1247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AC0" w:rsidRDefault="00D60AC0">
      <w:r>
        <w:separator/>
      </w:r>
    </w:p>
  </w:endnote>
  <w:endnote w:type="continuationSeparator" w:id="0">
    <w:p w:rsidR="00D60AC0" w:rsidRDefault="00D6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AC0" w:rsidRDefault="00D60AC0">
      <w:r>
        <w:separator/>
      </w:r>
    </w:p>
  </w:footnote>
  <w:footnote w:type="continuationSeparator" w:id="0">
    <w:p w:rsidR="00D60AC0" w:rsidRDefault="00D60AC0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A36104"/>
    <w:multiLevelType w:val="hybridMultilevel"/>
    <w:tmpl w:val="36BE9E64"/>
    <w:lvl w:ilvl="0" w:tplc="0F6046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60B2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13E6A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178B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243DF"/>
    <w:rsid w:val="00D32BCB"/>
    <w:rsid w:val="00D3710E"/>
    <w:rsid w:val="00D41525"/>
    <w:rsid w:val="00D42007"/>
    <w:rsid w:val="00D44A34"/>
    <w:rsid w:val="00D55D71"/>
    <w:rsid w:val="00D5768F"/>
    <w:rsid w:val="00D60AC0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32BE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rsid w:val="005060B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5060B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5060B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9DA0F-6629-4461-8DD9-977DCFDE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</cp:lastModifiedBy>
  <cp:revision>6</cp:revision>
  <cp:lastPrinted>2007-03-05T10:30:00Z</cp:lastPrinted>
  <dcterms:created xsi:type="dcterms:W3CDTF">2022-06-17T11:26:00Z</dcterms:created>
  <dcterms:modified xsi:type="dcterms:W3CDTF">2023-11-13T07:17:00Z</dcterms:modified>
</cp:coreProperties>
</file>