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82" w:rsidRDefault="00501B82" w:rsidP="00D723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Město Černošín</w:t>
      </w:r>
    </w:p>
    <w:p w:rsidR="00501B82" w:rsidRDefault="00501B82" w:rsidP="00D7231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Zastupitelstvo města Černošín</w:t>
      </w:r>
    </w:p>
    <w:p w:rsidR="00501B82" w:rsidRDefault="00501B82" w:rsidP="00D7231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Obecně závazná vyhláška města Černoší</w:t>
      </w:r>
      <w:r w:rsidR="00D72313">
        <w:rPr>
          <w:b/>
          <w:bCs/>
          <w:sz w:val="23"/>
          <w:szCs w:val="23"/>
        </w:rPr>
        <w:t>n</w:t>
      </w:r>
    </w:p>
    <w:p w:rsidR="00501B82" w:rsidRDefault="00501B82" w:rsidP="00D7231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stanovení koeficientu pro výpočet daně z nemovitých věcí</w:t>
      </w:r>
    </w:p>
    <w:p w:rsidR="00D72313" w:rsidRDefault="00D72313" w:rsidP="00D72313">
      <w:pPr>
        <w:pStyle w:val="Default"/>
        <w:jc w:val="center"/>
        <w:rPr>
          <w:sz w:val="22"/>
          <w:szCs w:val="22"/>
        </w:rPr>
      </w:pPr>
    </w:p>
    <w:p w:rsidR="00501B82" w:rsidRDefault="00501B82" w:rsidP="00D723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města Černošín se na svém zasedání dne </w:t>
      </w:r>
      <w:r w:rsidR="0081354B">
        <w:rPr>
          <w:sz w:val="22"/>
          <w:szCs w:val="22"/>
        </w:rPr>
        <w:t>27. 7. 2023</w:t>
      </w:r>
      <w:r>
        <w:rPr>
          <w:sz w:val="22"/>
          <w:szCs w:val="22"/>
        </w:rPr>
        <w:t xml:space="preserve"> usnesením č</w:t>
      </w:r>
      <w:r w:rsidR="0081354B">
        <w:rPr>
          <w:sz w:val="22"/>
          <w:szCs w:val="22"/>
        </w:rPr>
        <w:t>. 9</w:t>
      </w:r>
      <w:r>
        <w:rPr>
          <w:sz w:val="22"/>
          <w:szCs w:val="22"/>
        </w:rPr>
        <w:t xml:space="preserve"> usneslo vydat na základě ustanovení § 11 odst. 3 písm. a) a b) zákona č. 338/1992 Sb., o dani z nemovitých věcí, ve znění pozdějších předpisů (dále jen „zákon o dani z</w:t>
      </w:r>
      <w:r w:rsidR="00F1545F">
        <w:rPr>
          <w:sz w:val="22"/>
          <w:szCs w:val="22"/>
        </w:rPr>
        <w:t> </w:t>
      </w:r>
      <w:r>
        <w:rPr>
          <w:sz w:val="22"/>
          <w:szCs w:val="22"/>
        </w:rPr>
        <w:t xml:space="preserve">nemovitých věcí“) a § 84 odst. 2 písm. h) zákona č. 128/2000 Sb., o obcích (obecní zřízení), ve znění pozdějších předpisů, tuto obecně závaznou vyhlášku (dále jen „vyhláška“): </w:t>
      </w:r>
    </w:p>
    <w:p w:rsidR="00563EE5" w:rsidRDefault="00563EE5" w:rsidP="00D72313">
      <w:pPr>
        <w:pStyle w:val="Default"/>
        <w:jc w:val="both"/>
        <w:rPr>
          <w:b/>
          <w:bCs/>
          <w:sz w:val="22"/>
          <w:szCs w:val="22"/>
        </w:rPr>
      </w:pPr>
    </w:p>
    <w:p w:rsidR="00F1545F" w:rsidRDefault="00F1545F" w:rsidP="00D72313">
      <w:pPr>
        <w:pStyle w:val="Default"/>
        <w:jc w:val="both"/>
        <w:rPr>
          <w:b/>
          <w:bCs/>
          <w:sz w:val="22"/>
          <w:szCs w:val="22"/>
        </w:rPr>
      </w:pPr>
    </w:p>
    <w:p w:rsidR="00501B82" w:rsidRDefault="00501B82" w:rsidP="00563EE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 w:rsidR="00501B82" w:rsidRDefault="00501B82" w:rsidP="00563EE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Zdanitelné stavby a zdanitelné jednotky</w:t>
      </w:r>
    </w:p>
    <w:p w:rsidR="00501B82" w:rsidRDefault="00501B82" w:rsidP="00D723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zdanitelných staveb a zdanitelných jednotek uvedených v § 11 odst. 1 písm. b) a d) zákona o dani z nemovitých věcí se stanovuje koeficient, kterým se násobí základní sazba daně, případně sazba daně zvýšená podle § 11 odst. 2 zákona o dani z nemovitých věcí ve výši </w:t>
      </w:r>
      <w:r>
        <w:rPr>
          <w:b/>
          <w:bCs/>
          <w:sz w:val="22"/>
          <w:szCs w:val="22"/>
        </w:rPr>
        <w:t xml:space="preserve">1,5. </w:t>
      </w:r>
    </w:p>
    <w:p w:rsidR="00563EE5" w:rsidRDefault="00563EE5" w:rsidP="00563EE5">
      <w:pPr>
        <w:pStyle w:val="Default"/>
        <w:jc w:val="center"/>
        <w:rPr>
          <w:b/>
          <w:bCs/>
          <w:sz w:val="22"/>
          <w:szCs w:val="22"/>
        </w:rPr>
      </w:pPr>
    </w:p>
    <w:p w:rsidR="00563EE5" w:rsidRDefault="00563EE5" w:rsidP="00563EE5">
      <w:pPr>
        <w:pStyle w:val="Default"/>
        <w:jc w:val="center"/>
        <w:rPr>
          <w:b/>
          <w:bCs/>
          <w:sz w:val="22"/>
          <w:szCs w:val="22"/>
        </w:rPr>
      </w:pPr>
    </w:p>
    <w:p w:rsidR="00563EE5" w:rsidRDefault="00563EE5" w:rsidP="00563EE5">
      <w:pPr>
        <w:pStyle w:val="Default"/>
        <w:jc w:val="center"/>
        <w:rPr>
          <w:b/>
          <w:bCs/>
          <w:sz w:val="22"/>
          <w:szCs w:val="22"/>
        </w:rPr>
      </w:pPr>
    </w:p>
    <w:p w:rsidR="00501B82" w:rsidRDefault="00501B82" w:rsidP="00563EE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:rsidR="00501B82" w:rsidRDefault="00501B82" w:rsidP="00563EE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:rsidR="00501B82" w:rsidRDefault="00501B82" w:rsidP="00D723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Tato vyhláška nabývá účinnosti dnem 1.</w:t>
      </w:r>
      <w:r w:rsidR="00563EE5">
        <w:rPr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 w:rsidR="00563E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2024. </w:t>
      </w:r>
    </w:p>
    <w:p w:rsidR="00563EE5" w:rsidRDefault="00563EE5" w:rsidP="00D72313">
      <w:pPr>
        <w:pStyle w:val="Default"/>
        <w:jc w:val="both"/>
        <w:rPr>
          <w:sz w:val="22"/>
          <w:szCs w:val="22"/>
        </w:rPr>
      </w:pPr>
    </w:p>
    <w:p w:rsidR="0081354B" w:rsidRDefault="0081354B" w:rsidP="00D72313">
      <w:pPr>
        <w:pStyle w:val="Default"/>
        <w:jc w:val="both"/>
        <w:rPr>
          <w:sz w:val="22"/>
          <w:szCs w:val="22"/>
        </w:rPr>
      </w:pPr>
    </w:p>
    <w:p w:rsidR="0081354B" w:rsidRDefault="0081354B" w:rsidP="00D72313">
      <w:pPr>
        <w:pStyle w:val="Default"/>
        <w:jc w:val="both"/>
        <w:rPr>
          <w:sz w:val="22"/>
          <w:szCs w:val="22"/>
        </w:rPr>
      </w:pPr>
    </w:p>
    <w:p w:rsidR="00563EE5" w:rsidRDefault="00563EE5" w:rsidP="00D72313">
      <w:pPr>
        <w:pStyle w:val="Default"/>
        <w:jc w:val="both"/>
        <w:rPr>
          <w:sz w:val="22"/>
          <w:szCs w:val="22"/>
        </w:rPr>
      </w:pPr>
    </w:p>
    <w:p w:rsidR="00563EE5" w:rsidRDefault="00563EE5" w:rsidP="00D72313">
      <w:pPr>
        <w:pStyle w:val="Default"/>
        <w:jc w:val="both"/>
        <w:rPr>
          <w:sz w:val="22"/>
          <w:szCs w:val="22"/>
        </w:rPr>
      </w:pPr>
    </w:p>
    <w:p w:rsidR="0083034C" w:rsidRPr="0083034C" w:rsidRDefault="0083034C" w:rsidP="0083034C">
      <w:pPr>
        <w:keepNext/>
        <w:spacing w:after="0"/>
        <w:rPr>
          <w:rFonts w:ascii="Arial" w:hAnsi="Arial" w:cs="Arial"/>
        </w:rPr>
      </w:pPr>
      <w:r w:rsidRPr="0083034C">
        <w:rPr>
          <w:rFonts w:ascii="Arial" w:hAnsi="Arial" w:cs="Arial"/>
        </w:rPr>
        <w:t xml:space="preserve">                                                    </w:t>
      </w:r>
    </w:p>
    <w:p w:rsidR="00501B82" w:rsidRPr="0083034C" w:rsidRDefault="0081354B" w:rsidP="008303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01B82" w:rsidRPr="0083034C">
        <w:rPr>
          <w:sz w:val="22"/>
          <w:szCs w:val="22"/>
        </w:rPr>
        <w:t xml:space="preserve">Ing. Vladimír Krejča </w:t>
      </w:r>
      <w:r w:rsidR="00563EE5" w:rsidRPr="0083034C">
        <w:rPr>
          <w:sz w:val="22"/>
          <w:szCs w:val="22"/>
        </w:rPr>
        <w:tab/>
      </w:r>
      <w:r w:rsidR="00563EE5" w:rsidRPr="0083034C">
        <w:rPr>
          <w:sz w:val="22"/>
          <w:szCs w:val="22"/>
        </w:rPr>
        <w:tab/>
      </w:r>
      <w:r w:rsidR="00563EE5" w:rsidRPr="0083034C">
        <w:rPr>
          <w:sz w:val="22"/>
          <w:szCs w:val="22"/>
        </w:rPr>
        <w:tab/>
      </w:r>
      <w:r w:rsidR="00563EE5" w:rsidRPr="0083034C">
        <w:rPr>
          <w:sz w:val="22"/>
          <w:szCs w:val="22"/>
        </w:rPr>
        <w:tab/>
      </w:r>
      <w:r w:rsidR="00563EE5" w:rsidRPr="0083034C">
        <w:rPr>
          <w:sz w:val="22"/>
          <w:szCs w:val="22"/>
        </w:rPr>
        <w:tab/>
      </w:r>
      <w:r w:rsidR="00563EE5" w:rsidRPr="0083034C">
        <w:rPr>
          <w:sz w:val="22"/>
          <w:szCs w:val="22"/>
        </w:rPr>
        <w:tab/>
      </w:r>
      <w:r w:rsidR="00563EE5" w:rsidRPr="0083034C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501B82" w:rsidRPr="0083034C">
        <w:rPr>
          <w:sz w:val="22"/>
          <w:szCs w:val="22"/>
        </w:rPr>
        <w:t xml:space="preserve">Hana Merglová </w:t>
      </w:r>
    </w:p>
    <w:p w:rsidR="001A2BFF" w:rsidRPr="0083034C" w:rsidRDefault="0081354B" w:rsidP="008303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bookmarkStart w:id="0" w:name="_GoBack"/>
      <w:bookmarkEnd w:id="0"/>
      <w:r w:rsidR="00501B82" w:rsidRPr="0083034C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>v.r.</w:t>
      </w:r>
      <w:r w:rsidR="00563EE5" w:rsidRPr="0083034C">
        <w:rPr>
          <w:rFonts w:ascii="Arial" w:hAnsi="Arial" w:cs="Arial"/>
        </w:rPr>
        <w:tab/>
      </w:r>
      <w:r w:rsidR="00563EE5" w:rsidRPr="0083034C">
        <w:rPr>
          <w:rFonts w:ascii="Arial" w:hAnsi="Arial" w:cs="Arial"/>
        </w:rPr>
        <w:tab/>
      </w:r>
      <w:r w:rsidR="00563EE5" w:rsidRPr="0083034C">
        <w:rPr>
          <w:rFonts w:ascii="Arial" w:hAnsi="Arial" w:cs="Arial"/>
        </w:rPr>
        <w:tab/>
      </w:r>
      <w:r w:rsidR="00563EE5" w:rsidRPr="0083034C">
        <w:rPr>
          <w:rFonts w:ascii="Arial" w:hAnsi="Arial" w:cs="Arial"/>
        </w:rPr>
        <w:tab/>
      </w:r>
      <w:r w:rsidR="00563EE5" w:rsidRPr="0083034C">
        <w:rPr>
          <w:rFonts w:ascii="Arial" w:hAnsi="Arial" w:cs="Arial"/>
        </w:rPr>
        <w:tab/>
      </w:r>
      <w:r w:rsidR="00563EE5" w:rsidRPr="0083034C">
        <w:rPr>
          <w:rFonts w:ascii="Arial" w:hAnsi="Arial" w:cs="Arial"/>
        </w:rPr>
        <w:tab/>
      </w:r>
      <w:r w:rsidR="00563EE5" w:rsidRPr="0083034C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="00501B82" w:rsidRPr="0083034C">
        <w:rPr>
          <w:rFonts w:ascii="Arial" w:hAnsi="Arial" w:cs="Arial"/>
        </w:rPr>
        <w:t>ístostarost</w:t>
      </w:r>
      <w:r w:rsidR="00563EE5" w:rsidRPr="0083034C">
        <w:rPr>
          <w:rFonts w:ascii="Arial" w:hAnsi="Arial" w:cs="Arial"/>
        </w:rPr>
        <w:t>k</w:t>
      </w:r>
      <w:r w:rsidR="00501B82" w:rsidRPr="0083034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proofErr w:type="gramEnd"/>
    </w:p>
    <w:sectPr w:rsidR="001A2BFF" w:rsidRPr="0083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82"/>
    <w:rsid w:val="001A2BFF"/>
    <w:rsid w:val="00291F23"/>
    <w:rsid w:val="002C7224"/>
    <w:rsid w:val="00501B82"/>
    <w:rsid w:val="00563EE5"/>
    <w:rsid w:val="0081354B"/>
    <w:rsid w:val="0083034C"/>
    <w:rsid w:val="009B5668"/>
    <w:rsid w:val="00D72313"/>
    <w:rsid w:val="00F1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21534-16C4-40A4-879F-9CACE460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,Italic" w:eastAsia="Arial,Italic" w:hAnsi="Arial,Italic" w:cs="Helvetica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34C"/>
    <w:pPr>
      <w:spacing w:after="12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1B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54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Kamil, JUDr. Ing.</dc:creator>
  <cp:keywords/>
  <dc:description/>
  <cp:lastModifiedBy>zastupce</cp:lastModifiedBy>
  <cp:revision>3</cp:revision>
  <cp:lastPrinted>2023-07-31T06:11:00Z</cp:lastPrinted>
  <dcterms:created xsi:type="dcterms:W3CDTF">2023-07-31T06:12:00Z</dcterms:created>
  <dcterms:modified xsi:type="dcterms:W3CDTF">2023-07-31T06:17:00Z</dcterms:modified>
</cp:coreProperties>
</file>