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Městys </w:t>
      </w:r>
      <w:r>
        <w:rPr>
          <w:rFonts w:cs="Arial" w:ascii="Arial" w:hAnsi="Arial"/>
          <w:b/>
          <w:sz w:val="24"/>
          <w:szCs w:val="24"/>
        </w:rPr>
        <w:t>Radostín nad Oslavou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Zastupitelstvo městyse </w:t>
      </w:r>
      <w:r>
        <w:rPr>
          <w:rFonts w:cs="Arial" w:ascii="Arial" w:hAnsi="Arial"/>
          <w:b/>
          <w:sz w:val="24"/>
          <w:szCs w:val="24"/>
        </w:rPr>
        <w:t>Radostín nad Oslavou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městyse </w:t>
      </w:r>
      <w:r>
        <w:rPr>
          <w:rFonts w:cs="Arial" w:ascii="Arial" w:hAnsi="Arial"/>
          <w:b/>
          <w:sz w:val="24"/>
          <w:szCs w:val="24"/>
        </w:rPr>
        <w:t>Radostín nad Oslavou</w:t>
      </w:r>
      <w:r>
        <w:rPr>
          <w:rFonts w:cs="Arial" w:ascii="Arial" w:hAnsi="Arial"/>
          <w:b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Zastupitelstvo městyse </w:t>
      </w:r>
      <w:r>
        <w:rPr>
          <w:rFonts w:cs="Arial" w:ascii="Arial" w:hAnsi="Arial"/>
          <w:b w:val="false"/>
          <w:bCs/>
          <w:kern w:val="2"/>
          <w:sz w:val="22"/>
          <w:szCs w:val="22"/>
        </w:rPr>
        <w:t>Radostín nad Oslavou</w:t>
      </w:r>
      <w:r>
        <w:rPr>
          <w:rFonts w:cs="Arial" w:ascii="Arial" w:hAnsi="Arial"/>
          <w:b w:val="false"/>
          <w:sz w:val="22"/>
          <w:szCs w:val="22"/>
        </w:rPr>
        <w:t xml:space="preserve"> se na svém zasedání dne 8.12.2022 usnesením č. 2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  <w:lang w:val="cs-CZ" w:eastAsia="zxx" w:bidi="zxx"/>
        </w:rPr>
        <w:t xml:space="preserve">–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highlight w:val="white"/>
          <w:u w:val="none"/>
          <w:shd w:fill="auto" w:val="clear"/>
          <w:vertAlign w:val="baseline"/>
          <w:lang w:val="cs-CZ" w:eastAsia="zxx" w:bidi="zxx"/>
        </w:rPr>
        <w:t>533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Městys Radostín nad Oslavou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úřad městyse.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městysi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městyse.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770,-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městysi,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městysi,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městyse,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ve dvou stejných </w:t>
      </w:r>
      <w:r>
        <w:rPr>
          <w:rFonts w:cs="Arial" w:ascii="Arial" w:hAnsi="Arial"/>
          <w:color w:val="000000"/>
          <w:sz w:val="22"/>
          <w:szCs w:val="22"/>
        </w:rPr>
        <w:t xml:space="preserve">splátkách, vždy nejpozději do  31. 3. a do 31. 7.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Normal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městysi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městysi a která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highlight w:val="white"/>
        </w:rPr>
        <w:t>a) fyzické osoby narozené v příslušném kalendářního roku, a to za celý příslušný kalendářní rok, za který se poplatek platí,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cs="Arial" w:ascii="Arial" w:hAnsi="Arial"/>
          <w:color w:val="000000"/>
          <w:sz w:val="22"/>
          <w:szCs w:val="22"/>
          <w:highlight w:val="white"/>
        </w:rPr>
        <w:t>b) fyzické osoby, které se přihlásí k pobytu v průběhu příslušného kalendářního roku, a to po celý příslušný kalendářní rok, za který se poplatek platí,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cs="Arial" w:ascii="Arial" w:hAnsi="Arial"/>
          <w:color w:val="000000"/>
          <w:sz w:val="22"/>
          <w:szCs w:val="22"/>
          <w:highlight w:val="white"/>
        </w:rPr>
        <w:t>c) každé 4 a další nezaopatřené dítě do věku 26 let (dle data narození), včetně roku, ve kterém tohoto věku dosáhne, s pobytem na území obce žijící s rodiči ve společné domácnosti,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d) fyzické osoby nevidomé, bezmocné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14"/>
      </w:r>
      <w:r>
        <w:rPr>
          <w:rFonts w:cs="Arial" w:ascii="Arial" w:hAnsi="Arial"/>
          <w:color w:val="000000"/>
          <w:sz w:val="22"/>
          <w:szCs w:val="22"/>
        </w:rPr>
        <w:t xml:space="preserve"> a osoby s těžkým zdravotním postižením, které  jsou držiteli průkazu ZTP/P podle zvláštního právního předpisu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15"/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e) osoby, které jsou hlášeny k trvalému pobytu na ohlašovně úřadu městyse čp.223,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highlight w:val="white"/>
        </w:rPr>
        <w:t xml:space="preserve">f) fyzické osoby zdržující se nepřetržitě déle jak 12 měsíců mimo území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highlight w:val="white"/>
          <w:lang w:val="cs-CZ" w:eastAsia="cs-CZ" w:bidi="ar-SA"/>
        </w:rPr>
        <w:t>městyse</w:t>
      </w:r>
      <w:r>
        <w:rPr>
          <w:rFonts w:cs="Arial" w:ascii="Arial" w:hAnsi="Arial"/>
          <w:color w:val="000000"/>
          <w:sz w:val="22"/>
          <w:szCs w:val="22"/>
          <w:highlight w:val="white"/>
        </w:rPr>
        <w:t>.</w:t>
      </w:r>
    </w:p>
    <w:p>
      <w:pPr>
        <w:pStyle w:val="Normal"/>
        <w:numPr>
          <w:ilvl w:val="0"/>
          <w:numId w:val="0"/>
        </w:numPr>
        <w:spacing w:lineRule="auto" w:line="264"/>
        <w:ind w:left="596" w:hang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0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1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 xml:space="preserve">č. 2/2021, </w:t>
      </w:r>
      <w:r>
        <w:rPr>
          <w:rFonts w:cs="Arial" w:ascii="Arial" w:hAnsi="Arial"/>
          <w:b w:val="false"/>
          <w:bCs w:val="false"/>
          <w:sz w:val="22"/>
          <w:szCs w:val="22"/>
        </w:rPr>
        <w:t>o místním poplatku za obecní systém odpadového hospodářství</w:t>
      </w:r>
      <w:r>
        <w:rPr>
          <w:rFonts w:cs="Arial" w:ascii="Arial" w:hAnsi="Arial"/>
          <w:sz w:val="22"/>
          <w:szCs w:val="22"/>
        </w:rPr>
        <w:t xml:space="preserve"> ze dne 9.12. 2021.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2023.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Jan Fabík</w:t>
      </w:r>
      <w:r>
        <w:rPr>
          <w:rFonts w:cs="Arial" w:ascii="Arial" w:hAnsi="Arial"/>
          <w:sz w:val="22"/>
          <w:szCs w:val="22"/>
        </w:rPr>
        <w:t xml:space="preserve">  v.r.                                                                  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cs-CZ" w:eastAsia="cs-CZ" w:bidi="ar-SA"/>
        </w:rPr>
        <w:t>Antonín Váša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color w:val="FF0000"/>
        </w:rPr>
        <w:tab/>
        <w:t xml:space="preserve">  </w:t>
      </w:r>
      <w:r>
        <w:rPr>
          <w:color w:val="000000"/>
        </w:rPr>
        <w:t>§ 2 vyhlášky č. 284/1995 Sb., kterou se provádí zákon o důchodovém pojištění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color w:val="FF0000"/>
        </w:rPr>
        <w:tab/>
        <w:t xml:space="preserve">  </w:t>
      </w:r>
      <w:r>
        <w:rPr>
          <w:color w:val="000000"/>
          <w:lang w:val="cs-CZ"/>
        </w:rPr>
        <w:t>z</w:t>
      </w:r>
      <w:r>
        <w:rPr>
          <w:color w:val="000000"/>
        </w:rPr>
        <w:t>.č. 329/2011 Sb., o poskytování dávek osobám se zdravotním postižením a o změně souvisejících zákonů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2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2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WW8Num8z0">
    <w:name w:val="WW8Num8z0"/>
    <w:qFormat/>
    <w:rPr>
      <w:rFonts w:ascii="Arial" w:hAnsi="Arial" w:cs="Arial"/>
      <w:b w:val="false"/>
      <w:i w:val="false"/>
      <w:strike w:val="false"/>
      <w:dstrike w:val="false"/>
      <w:shadow w:val="false"/>
      <w:position w:val="0"/>
      <w:sz w:val="22"/>
      <w:sz w:val="22"/>
      <w:szCs w:val="22"/>
      <w:vertAlign w:val="baseline"/>
    </w:rPr>
  </w:style>
  <w:style w:type="character" w:styleId="WW8Num8z1">
    <w:name w:val="WW8Num8z1"/>
    <w:qFormat/>
    <w:rPr/>
  </w:style>
  <w:style w:type="character" w:styleId="Znakapoznpodarou2">
    <w:name w:val="Značka pozn. pod čarou2"/>
    <w:qFormat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8">
    <w:name w:val="WW8Num8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Application>LibreOffice/7.0.2.2$Windows_X86_64 LibreOffice_project/8349ace3c3162073abd90d81fd06dcfb6b36b994</Application>
  <Pages>5</Pages>
  <Words>1484</Words>
  <Characters>8294</Characters>
  <CharactersWithSpaces>9782</CharactersWithSpaces>
  <Paragraphs>112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2021-09-27T10:00:00Z</dcterms:created>
  <dc:creator>Mgr. Lukáš Toman</dc:creator>
  <dc:description/>
  <dc:language>cs-CZ</dc:language>
  <cp:lastModifiedBy/>
  <cp:lastPrinted>2021-12-16T11:43:28Z</cp:lastPrinted>
  <dcterms:modified xsi:type="dcterms:W3CDTF">2022-12-13T10:47:32Z</dcterms:modified>
  <cp:revision>20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