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before="8" w:after="8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Start w:val="1"/>
            <w:numRestart w:val="continuous"/>
          </w:footnotePr>
          <w:pgSz w:w="11900" w:h="16840"/>
          <w:pgMar w:top="1192" w:left="0" w:right="0" w:bottom="1059" w:header="0" w:footer="3" w:gutter="0"/>
          <w:rtlGutter w:val="0"/>
          <w:cols w:space="720"/>
          <w:noEndnote/>
          <w:docGrid w:linePitch="360"/>
        </w:sectPr>
      </w:pPr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0" w:line="240" w:lineRule="exact"/>
        <w:ind w:left="20" w:right="0" w:firstLine="0"/>
      </w:pPr>
      <w:bookmarkStart w:id="0" w:name="bookmark0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Obec Skalice</w:t>
      </w:r>
      <w:bookmarkEnd w:id="0"/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210" w:line="240" w:lineRule="exact"/>
        <w:ind w:left="20" w:right="0" w:firstLine="0"/>
      </w:pPr>
      <w:bookmarkStart w:id="1" w:name="bookmark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Zastupitelstvo obce Skalice</w:t>
      </w:r>
      <w:bookmarkEnd w:id="1"/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171" w:line="277" w:lineRule="exact"/>
        <w:ind w:left="20" w:right="0" w:firstLine="0"/>
      </w:pP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Obecně závazná vyhláška obce Skalice</w:t>
        <w:br/>
        <w:t>o místním poplatku za obecní systém odpadového hospodářství</w:t>
      </w:r>
      <w:bookmarkEnd w:id="2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354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Zastupitelstvo obce Skalice se na svém zasedání dne 29. prosince 2025 usneslo vydat na základě § 14 zákona č. 565/1990 Sb., o místních poplatcích, ve znění pozdějších předpisů (dále jen „zákon o místních poplatcích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11</w:t>
      </w:r>
      <w:r>
        <w:rPr>
          <w:lang w:val="cs-CZ" w:eastAsia="cs-CZ" w:bidi="cs-CZ"/>
          <w:w w:val="100"/>
          <w:spacing w:val="0"/>
          <w:color w:val="000000"/>
          <w:position w:val="0"/>
        </w:rPr>
        <w:t>), a v souladu s § 10 písm. d) a § 84 odst. 2 písm. h) zákona č. 128/2000 Sb., o obcích (obecní zřízení), ve znění pozdějších předpisů, tuto obecně závaznou vyhlášku (dále jen „vyhláška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11</w:t>
      </w:r>
      <w:r>
        <w:rPr>
          <w:lang w:val="cs-CZ" w:eastAsia="cs-CZ" w:bidi="cs-CZ"/>
          <w:w w:val="100"/>
          <w:spacing w:val="0"/>
          <w:color w:val="000000"/>
          <w:position w:val="0"/>
        </w:rPr>
        <w:t>):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spacing w:before="0" w:after="40" w:line="220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ČI. 1</w:t>
      </w:r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62" w:line="240" w:lineRule="exact"/>
        <w:ind w:left="20" w:right="0" w:firstLine="0"/>
      </w:pPr>
      <w:bookmarkStart w:id="3" w:name="bookmark3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Úvodní ustanovení</w:t>
      </w:r>
      <w:bookmarkEnd w:id="3"/>
    </w:p>
    <w:p>
      <w:pPr>
        <w:pStyle w:val="Style5"/>
        <w:numPr>
          <w:ilvl w:val="0"/>
          <w:numId w:val="1"/>
        </w:numPr>
        <w:tabs>
          <w:tab w:leader="none" w:pos="56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36" w:line="295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Obec Skalice touto vyhláškou zavádí místní poplatek za obecní systém odpadového hospodářství (dále jen „poplatek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11</w:t>
      </w:r>
      <w:r>
        <w:rPr>
          <w:lang w:val="cs-CZ" w:eastAsia="cs-CZ" w:bidi="cs-CZ"/>
          <w:w w:val="100"/>
          <w:spacing w:val="0"/>
          <w:color w:val="000000"/>
          <w:position w:val="0"/>
        </w:rPr>
        <w:t>).</w:t>
      </w:r>
    </w:p>
    <w:p>
      <w:pPr>
        <w:pStyle w:val="Style5"/>
        <w:numPr>
          <w:ilvl w:val="0"/>
          <w:numId w:val="1"/>
        </w:numPr>
        <w:tabs>
          <w:tab w:leader="none" w:pos="562" w:val="left"/>
        </w:tabs>
        <w:widowControl w:val="0"/>
        <w:keepNext w:val="0"/>
        <w:keepLines w:val="0"/>
        <w:shd w:val="clear" w:color="auto" w:fill="auto"/>
        <w:bidi w:val="0"/>
        <w:spacing w:before="0" w:after="156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Poplatkovým obdobím poplatku je kalendářní rok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erence w:id="2"/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</w:p>
    <w:p>
      <w:pPr>
        <w:pStyle w:val="Style5"/>
        <w:numPr>
          <w:ilvl w:val="0"/>
          <w:numId w:val="1"/>
        </w:numPr>
        <w:tabs>
          <w:tab w:leader="none" w:pos="562" w:val="left"/>
        </w:tabs>
        <w:widowControl w:val="0"/>
        <w:keepNext w:val="0"/>
        <w:keepLines w:val="0"/>
        <w:shd w:val="clear" w:color="auto" w:fill="auto"/>
        <w:bidi w:val="0"/>
        <w:spacing w:before="0" w:after="404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Správcem poplatku je obecní úřad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erence w:id="3"/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0" w:line="240" w:lineRule="exact"/>
        <w:ind w:left="20" w:right="0" w:firstLine="0"/>
      </w:pPr>
      <w:bookmarkStart w:id="4" w:name="bookmark4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2</w:t>
      </w:r>
      <w:bookmarkEnd w:id="4"/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0" w:line="410" w:lineRule="exact"/>
        <w:ind w:left="20" w:right="0" w:firstLine="0"/>
      </w:pPr>
      <w:bookmarkStart w:id="5" w:name="bookmark5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Poplatník</w:t>
      </w:r>
      <w:bookmarkEnd w:id="5"/>
    </w:p>
    <w:p>
      <w:pPr>
        <w:pStyle w:val="Style5"/>
        <w:numPr>
          <w:ilvl w:val="0"/>
          <w:numId w:val="3"/>
        </w:numPr>
        <w:tabs>
          <w:tab w:leader="none" w:pos="562" w:val="left"/>
        </w:tabs>
        <w:widowControl w:val="0"/>
        <w:keepNext w:val="0"/>
        <w:keepLines w:val="0"/>
        <w:shd w:val="clear" w:color="auto" w:fill="auto"/>
        <w:bidi w:val="0"/>
        <w:spacing w:before="0" w:after="0" w:line="4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Poplatníkem poplatku je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erence w:id="4"/>
      </w:r>
    </w:p>
    <w:p>
      <w:pPr>
        <w:pStyle w:val="Style5"/>
        <w:numPr>
          <w:ilvl w:val="0"/>
          <w:numId w:val="5"/>
        </w:numPr>
        <w:tabs>
          <w:tab w:leader="none" w:pos="1016" w:val="left"/>
        </w:tabs>
        <w:widowControl w:val="0"/>
        <w:keepNext w:val="0"/>
        <w:keepLines w:val="0"/>
        <w:shd w:val="clear" w:color="auto" w:fill="auto"/>
        <w:bidi w:val="0"/>
        <w:spacing w:before="0" w:after="0" w:line="410" w:lineRule="exact"/>
        <w:ind w:left="6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fyzická osoba přihlášená v obci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erence w:id="5"/>
      </w:r>
    </w:p>
    <w:p>
      <w:pPr>
        <w:pStyle w:val="Style5"/>
        <w:numPr>
          <w:ilvl w:val="0"/>
          <w:numId w:val="5"/>
        </w:numPr>
        <w:tabs>
          <w:tab w:leader="none" w:pos="101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0" w:line="292" w:lineRule="exact"/>
        <w:ind w:left="104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nebo vlastník nemovité věci zahrnující byt, rodinný dům nebo stavbu pro rodinnou rekreaci, ve které není přihlášená žádná fyzická osoba a která je umístěna na území obce.</w:t>
      </w:r>
    </w:p>
    <w:p>
      <w:pPr>
        <w:pStyle w:val="Style5"/>
        <w:numPr>
          <w:ilvl w:val="0"/>
          <w:numId w:val="3"/>
        </w:numPr>
        <w:tabs>
          <w:tab w:leader="none" w:pos="56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41" w:line="292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Spoluvlastníci nemovité věci zahrnující byt, rodinný dům nebo stavbu pro rodinnou rekreaci jsou povinni plnit poplatkovou povinnost společně a nerozdílně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erence w:id="6"/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0" w:line="240" w:lineRule="exact"/>
        <w:ind w:left="20" w:right="0" w:firstLine="0"/>
      </w:pPr>
      <w:bookmarkStart w:id="6" w:name="bookmark6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3</w:t>
      </w:r>
      <w:bookmarkEnd w:id="6"/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28" w:line="80" w:lineRule="exact"/>
        <w:ind w:left="57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*</w:t>
      </w:r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68" w:line="240" w:lineRule="exact"/>
        <w:ind w:left="20" w:right="0" w:firstLine="0"/>
      </w:pPr>
      <w:bookmarkStart w:id="7" w:name="bookmark7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Ohlašovací povinnost</w:t>
      </w:r>
      <w:bookmarkEnd w:id="7"/>
    </w:p>
    <w:p>
      <w:pPr>
        <w:pStyle w:val="Style5"/>
        <w:numPr>
          <w:ilvl w:val="0"/>
          <w:numId w:val="7"/>
        </w:numPr>
        <w:tabs>
          <w:tab w:leader="none" w:pos="562" w:val="left"/>
        </w:tabs>
        <w:widowControl w:val="0"/>
        <w:keepNext w:val="0"/>
        <w:keepLines w:val="0"/>
        <w:shd w:val="clear" w:color="auto" w:fill="auto"/>
        <w:bidi w:val="0"/>
        <w:spacing w:before="0" w:after="0" w:line="29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Poplatník je povinen podat správci poplatku ohlášení nejpozději do 15 dnů ode dne vzniku své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92" w:lineRule="exact"/>
        <w:ind w:left="6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poplatkové povinnosti; údaje uváděné v ohlášení upravuje zákon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erence w:id="7"/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</w:p>
    <w:p>
      <w:pPr>
        <w:pStyle w:val="Style5"/>
        <w:numPr>
          <w:ilvl w:val="0"/>
          <w:numId w:val="7"/>
        </w:numPr>
        <w:tabs>
          <w:tab w:leader="none" w:pos="558" w:val="left"/>
        </w:tabs>
        <w:widowControl w:val="0"/>
        <w:keepNext w:val="0"/>
        <w:keepLines w:val="0"/>
        <w:shd w:val="clear" w:color="auto" w:fill="auto"/>
        <w:bidi w:val="0"/>
        <w:spacing w:before="0" w:after="0" w:line="284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Dojde-li ke změně údajů uvedených v ohlášení, je poplatník povinen tuto změnu oznámit do 15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396" w:line="284" w:lineRule="exact"/>
        <w:ind w:left="102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dnů ode dne, kdy nastala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erence w:id="8"/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0" w:line="240" w:lineRule="exact"/>
        <w:ind w:left="0" w:right="0" w:firstLine="0"/>
      </w:pPr>
      <w:bookmarkStart w:id="8" w:name="bookmark8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4</w:t>
      </w:r>
      <w:bookmarkEnd w:id="8"/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138" w:line="240" w:lineRule="exact"/>
        <w:ind w:left="0" w:right="0" w:firstLine="0"/>
      </w:pPr>
      <w:bookmarkStart w:id="9" w:name="bookmark9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Sazba poplatku</w:t>
      </w:r>
      <w:bookmarkEnd w:id="9"/>
    </w:p>
    <w:p>
      <w:pPr>
        <w:pStyle w:val="Style5"/>
        <w:numPr>
          <w:ilvl w:val="0"/>
          <w:numId w:val="9"/>
        </w:numPr>
        <w:tabs>
          <w:tab w:leader="none" w:pos="558" w:val="left"/>
        </w:tabs>
        <w:widowControl w:val="0"/>
        <w:keepNext w:val="0"/>
        <w:keepLines w:val="0"/>
        <w:shd w:val="clear" w:color="auto" w:fill="auto"/>
        <w:bidi w:val="0"/>
        <w:spacing w:before="0" w:after="76" w:line="200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Sazba poplatku za kalendářní rok činí 750 Kč.</w:t>
      </w:r>
    </w:p>
    <w:p>
      <w:pPr>
        <w:pStyle w:val="Style5"/>
        <w:numPr>
          <w:ilvl w:val="0"/>
          <w:numId w:val="9"/>
        </w:numPr>
        <w:tabs>
          <w:tab w:leader="none" w:pos="558" w:val="left"/>
        </w:tabs>
        <w:widowControl w:val="0"/>
        <w:keepNext w:val="0"/>
        <w:keepLines w:val="0"/>
        <w:shd w:val="clear" w:color="auto" w:fill="auto"/>
        <w:bidi w:val="0"/>
        <w:spacing w:before="0" w:after="130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erence w:id="9"/>
      </w:r>
    </w:p>
    <w:p>
      <w:pPr>
        <w:pStyle w:val="Style5"/>
        <w:numPr>
          <w:ilvl w:val="0"/>
          <w:numId w:val="11"/>
        </w:numPr>
        <w:tabs>
          <w:tab w:leader="none" w:pos="1016" w:val="left"/>
        </w:tabs>
        <w:widowControl w:val="0"/>
        <w:keepNext w:val="0"/>
        <w:keepLines w:val="0"/>
        <w:shd w:val="clear" w:color="auto" w:fill="auto"/>
        <w:bidi w:val="0"/>
        <w:spacing w:before="0" w:after="142" w:line="200" w:lineRule="exact"/>
        <w:ind w:left="102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není tato fyzická osoba přihlášena v obci,</w:t>
      </w:r>
    </w:p>
    <w:p>
      <w:pPr>
        <w:pStyle w:val="Style5"/>
        <w:numPr>
          <w:ilvl w:val="0"/>
          <w:numId w:val="11"/>
        </w:numPr>
        <w:tabs>
          <w:tab w:leader="none" w:pos="1016" w:val="left"/>
        </w:tabs>
        <w:widowControl w:val="0"/>
        <w:keepNext w:val="0"/>
        <w:keepLines w:val="0"/>
        <w:shd w:val="clear" w:color="auto" w:fill="auto"/>
        <w:bidi w:val="0"/>
        <w:spacing w:before="0" w:after="76" w:line="200" w:lineRule="exact"/>
        <w:ind w:left="102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nebo je tato fyzická osoba od poplatku osvobozena.</w:t>
      </w:r>
    </w:p>
    <w:p>
      <w:pPr>
        <w:pStyle w:val="Style5"/>
        <w:numPr>
          <w:ilvl w:val="0"/>
          <w:numId w:val="9"/>
        </w:numPr>
        <w:tabs>
          <w:tab w:leader="none" w:pos="55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erence w:id="10"/>
      </w:r>
    </w:p>
    <w:p>
      <w:pPr>
        <w:pStyle w:val="Style5"/>
        <w:numPr>
          <w:ilvl w:val="0"/>
          <w:numId w:val="13"/>
        </w:numPr>
        <w:tabs>
          <w:tab w:leader="none" w:pos="1013" w:val="left"/>
        </w:tabs>
        <w:widowControl w:val="0"/>
        <w:keepNext w:val="0"/>
        <w:keepLines w:val="0"/>
        <w:shd w:val="clear" w:color="auto" w:fill="auto"/>
        <w:bidi w:val="0"/>
        <w:spacing w:before="0" w:after="0" w:line="410" w:lineRule="exact"/>
        <w:ind w:left="102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je v této nemovité věci přihlášena alespoň 1 fyzická osoba,</w:t>
      </w:r>
    </w:p>
    <w:p>
      <w:pPr>
        <w:pStyle w:val="Style5"/>
        <w:numPr>
          <w:ilvl w:val="0"/>
          <w:numId w:val="13"/>
        </w:numPr>
        <w:tabs>
          <w:tab w:leader="none" w:pos="1013" w:val="left"/>
        </w:tabs>
        <w:widowControl w:val="0"/>
        <w:keepNext w:val="0"/>
        <w:keepLines w:val="0"/>
        <w:shd w:val="clear" w:color="auto" w:fill="auto"/>
        <w:bidi w:val="0"/>
        <w:spacing w:before="0" w:after="0" w:line="410" w:lineRule="exact"/>
        <w:ind w:left="102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poplatník nevlastní tuto nemovitou věc,</w:t>
      </w:r>
    </w:p>
    <w:p>
      <w:pPr>
        <w:pStyle w:val="Style5"/>
        <w:numPr>
          <w:ilvl w:val="0"/>
          <w:numId w:val="13"/>
        </w:numPr>
        <w:tabs>
          <w:tab w:leader="none" w:pos="1013" w:val="left"/>
        </w:tabs>
        <w:widowControl w:val="0"/>
        <w:keepNext w:val="0"/>
        <w:keepLines w:val="0"/>
        <w:shd w:val="clear" w:color="auto" w:fill="auto"/>
        <w:bidi w:val="0"/>
        <w:spacing w:before="0" w:after="316" w:line="410" w:lineRule="exact"/>
        <w:ind w:left="102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neboje poplatník od poplatku osvobozen.</w:t>
      </w:r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0" w:line="240" w:lineRule="exact"/>
        <w:ind w:left="0" w:right="0" w:firstLine="0"/>
      </w:pPr>
      <w:bookmarkStart w:id="10" w:name="bookmark10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5</w:t>
      </w:r>
      <w:bookmarkEnd w:id="10"/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138" w:line="240" w:lineRule="exact"/>
        <w:ind w:left="0" w:right="0" w:firstLine="0"/>
      </w:pPr>
      <w:bookmarkStart w:id="11" w:name="bookmark1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Splatnost poplatku</w:t>
      </w:r>
      <w:bookmarkEnd w:id="11"/>
    </w:p>
    <w:p>
      <w:pPr>
        <w:pStyle w:val="Style5"/>
        <w:numPr>
          <w:ilvl w:val="0"/>
          <w:numId w:val="15"/>
        </w:numPr>
        <w:tabs>
          <w:tab w:leader="none" w:pos="558" w:val="left"/>
        </w:tabs>
        <w:widowControl w:val="0"/>
        <w:keepNext w:val="0"/>
        <w:keepLines w:val="0"/>
        <w:shd w:val="clear" w:color="auto" w:fill="auto"/>
        <w:bidi w:val="0"/>
        <w:spacing w:before="0" w:after="69" w:line="200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Poplatek je splatný nejpozději do 30. června příslušného kalendářního roku.</w:t>
      </w:r>
    </w:p>
    <w:p>
      <w:pPr>
        <w:pStyle w:val="Style5"/>
        <w:numPr>
          <w:ilvl w:val="0"/>
          <w:numId w:val="15"/>
        </w:numPr>
        <w:tabs>
          <w:tab w:leader="none" w:pos="558" w:val="left"/>
        </w:tabs>
        <w:widowControl w:val="0"/>
        <w:keepNext w:val="0"/>
        <w:keepLines w:val="0"/>
        <w:shd w:val="clear" w:color="auto" w:fill="auto"/>
        <w:bidi w:val="0"/>
        <w:spacing w:before="0" w:after="133" w:line="292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Vznikne-li poplatková povinnost po datu splatnosti uvedeném v odstavci 1, je poplatek splatný nejpozději do patnáctého dne měsíce, který následuje po měsíci, ve kterém poplatková povinnost vznikla.</w:t>
      </w:r>
    </w:p>
    <w:p>
      <w:pPr>
        <w:pStyle w:val="Style5"/>
        <w:numPr>
          <w:ilvl w:val="0"/>
          <w:numId w:val="15"/>
        </w:numPr>
        <w:tabs>
          <w:tab w:leader="none" w:pos="558" w:val="left"/>
        </w:tabs>
        <w:widowControl w:val="0"/>
        <w:keepNext w:val="0"/>
        <w:keepLines w:val="0"/>
        <w:shd w:val="clear" w:color="auto" w:fill="auto"/>
        <w:bidi w:val="0"/>
        <w:spacing w:before="0" w:after="348" w:line="200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Lhůta splatnosti neskončí poplatníkovi dříve než lhůta pro podání ohlášení podle čl. 3 odst. 1.</w:t>
      </w:r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0" w:line="240" w:lineRule="exact"/>
        <w:ind w:left="0" w:right="0" w:firstLine="0"/>
      </w:pPr>
      <w:bookmarkStart w:id="12" w:name="bookmark1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6</w:t>
      </w:r>
      <w:bookmarkEnd w:id="12"/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101" w:line="240" w:lineRule="exact"/>
        <w:ind w:left="0" w:right="0" w:firstLine="0"/>
      </w:pPr>
      <w:bookmarkStart w:id="13" w:name="bookmark13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Osvobození</w:t>
      </w:r>
      <w:bookmarkEnd w:id="13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63" w:line="292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(1) Od poplatku je osvobozena osoba, které poplatková povinnost vznikla z důvodu přihlášení v obci a která je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erence w:id="11"/>
      </w:r>
      <w:r>
        <w:rPr>
          <w:lang w:val="cs-CZ" w:eastAsia="cs-CZ" w:bidi="cs-CZ"/>
          <w:w w:val="100"/>
          <w:spacing w:val="0"/>
          <w:color w:val="000000"/>
          <w:position w:val="0"/>
        </w:rPr>
        <w:t>:</w:t>
      </w:r>
    </w:p>
    <w:p>
      <w:pPr>
        <w:pStyle w:val="Style5"/>
        <w:numPr>
          <w:ilvl w:val="0"/>
          <w:numId w:val="17"/>
        </w:numPr>
        <w:tabs>
          <w:tab w:leader="none" w:pos="1016" w:val="left"/>
        </w:tabs>
        <w:widowControl w:val="0"/>
        <w:keepNext w:val="0"/>
        <w:keepLines w:val="0"/>
        <w:shd w:val="clear" w:color="auto" w:fill="auto"/>
        <w:bidi w:val="0"/>
        <w:spacing w:before="0" w:after="60"/>
        <w:ind w:left="102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poplatníkem poplatku za odkládání komunálního odpadu z nemovité věci v jiné obci a má v této jiné obci bydliště,</w:t>
      </w:r>
    </w:p>
    <w:p>
      <w:pPr>
        <w:pStyle w:val="Style5"/>
        <w:numPr>
          <w:ilvl w:val="0"/>
          <w:numId w:val="17"/>
        </w:numPr>
        <w:tabs>
          <w:tab w:leader="none" w:pos="101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2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umístěna do školského zařízení pro výkon ústavní nebo ochranné výchovy nebo školského zařízení pro preventivně výchovnou péči na základě rozhodnutí soudu nebo smlouvy,</w:t>
      </w:r>
      <w:r>
        <w:br w:type="page"/>
      </w:r>
    </w:p>
    <w:p>
      <w:pPr>
        <w:pStyle w:val="Style5"/>
        <w:numPr>
          <w:ilvl w:val="0"/>
          <w:numId w:val="17"/>
        </w:numPr>
        <w:tabs>
          <w:tab w:leader="none" w:pos="986" w:val="left"/>
        </w:tabs>
        <w:widowControl w:val="0"/>
        <w:keepNext w:val="0"/>
        <w:keepLines w:val="0"/>
        <w:shd w:val="clear" w:color="auto" w:fill="auto"/>
        <w:bidi w:val="0"/>
        <w:spacing w:before="0" w:after="60" w:line="292" w:lineRule="exact"/>
        <w:ind w:left="102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>
      <w:pPr>
        <w:pStyle w:val="Style5"/>
        <w:numPr>
          <w:ilvl w:val="0"/>
          <w:numId w:val="17"/>
        </w:numPr>
        <w:tabs>
          <w:tab w:leader="none" w:pos="996" w:val="left"/>
        </w:tabs>
        <w:widowControl w:val="0"/>
        <w:keepNext w:val="0"/>
        <w:keepLines w:val="0"/>
        <w:shd w:val="clear" w:color="auto" w:fill="auto"/>
        <w:bidi w:val="0"/>
        <w:spacing w:before="0" w:after="66" w:line="292" w:lineRule="exact"/>
        <w:ind w:left="102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umístěna v domově pro osoby se zdravotním postižením, domově pro seniory, domově se zvláštním režimem nebo v chráněném bydlení,</w:t>
      </w:r>
    </w:p>
    <w:p>
      <w:pPr>
        <w:pStyle w:val="Style5"/>
        <w:numPr>
          <w:ilvl w:val="0"/>
          <w:numId w:val="17"/>
        </w:numPr>
        <w:tabs>
          <w:tab w:leader="none" w:pos="996" w:val="left"/>
        </w:tabs>
        <w:widowControl w:val="0"/>
        <w:keepNext w:val="0"/>
        <w:keepLines w:val="0"/>
        <w:shd w:val="clear" w:color="auto" w:fill="auto"/>
        <w:bidi w:val="0"/>
        <w:spacing w:before="0" w:after="52" w:line="284" w:lineRule="exact"/>
        <w:ind w:left="102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nebo na základě zákona omezena na osobní svobodě s výjimkou osoby vykonávající trest domácího vězení.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344" w:line="295" w:lineRule="exact"/>
        <w:ind w:left="620" w:right="0" w:hanging="620"/>
      </w:pPr>
      <w:r>
        <w:rPr>
          <w:lang w:val="cs-CZ" w:eastAsia="cs-CZ" w:bidi="cs-CZ"/>
          <w:w w:val="100"/>
          <w:spacing w:val="0"/>
          <w:color w:val="000000"/>
          <w:position w:val="0"/>
        </w:rPr>
        <w:t>(2) V případě, že poplatník nesplní povinnost ohlásit údaj rozhodný pro osvobození ve lhůtách stanovených touto vyhláškou nebo zákonem, nárok na osvobození zaniká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erence w:id="12"/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0" w:line="240" w:lineRule="exact"/>
        <w:ind w:left="0" w:right="0" w:firstLine="0"/>
      </w:pPr>
      <w:bookmarkStart w:id="14" w:name="bookmark14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7</w:t>
      </w:r>
      <w:bookmarkEnd w:id="14"/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65" w:line="240" w:lineRule="exact"/>
        <w:ind w:left="0" w:right="0" w:firstLine="0"/>
      </w:pPr>
      <w:bookmarkStart w:id="15" w:name="bookmark15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Přechodné a zrušovací ustanovení</w:t>
      </w:r>
      <w:bookmarkEnd w:id="15"/>
    </w:p>
    <w:p>
      <w:pPr>
        <w:pStyle w:val="Style5"/>
        <w:numPr>
          <w:ilvl w:val="0"/>
          <w:numId w:val="19"/>
        </w:numPr>
        <w:tabs>
          <w:tab w:leader="none" w:pos="56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57" w:line="292" w:lineRule="exact"/>
        <w:ind w:left="620" w:right="0" w:hanging="6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Poplatkové povinnosti vzniklé před nabytím účinnosti této vyhlášky se posuzují podle dosavadních právních předpisů.</w:t>
      </w:r>
    </w:p>
    <w:p>
      <w:pPr>
        <w:pStyle w:val="Style5"/>
        <w:numPr>
          <w:ilvl w:val="0"/>
          <w:numId w:val="19"/>
        </w:numPr>
        <w:tabs>
          <w:tab w:leader="none" w:pos="56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44" w:line="295" w:lineRule="exact"/>
        <w:ind w:left="620" w:right="0" w:hanging="620"/>
      </w:pPr>
      <w:r>
        <w:rPr>
          <w:lang w:val="cs-CZ" w:eastAsia="cs-CZ" w:bidi="cs-CZ"/>
          <w:w w:val="100"/>
          <w:spacing w:val="0"/>
          <w:color w:val="000000"/>
          <w:position w:val="0"/>
        </w:rPr>
        <w:t>Zrušuje se obecně závazná vyhláška č. 1/2024, o místním poplatku za obecní systém odpadového hospodářství, ze dne 28. prosince 2023.</w:t>
      </w:r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40" w:line="240" w:lineRule="exact"/>
        <w:ind w:left="0" w:right="0" w:firstLine="0"/>
      </w:pPr>
      <w:bookmarkStart w:id="16" w:name="bookmark16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8</w:t>
      </w:r>
      <w:bookmarkEnd w:id="16"/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145" w:line="240" w:lineRule="exact"/>
        <w:ind w:left="0" w:right="0" w:firstLine="0"/>
      </w:pPr>
      <w:bookmarkStart w:id="17" w:name="bookmark17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Účinnost</w:t>
      </w:r>
      <w:bookmarkEnd w:id="17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1118" w:line="200" w:lineRule="exact"/>
        <w:ind w:left="620" w:right="0" w:hanging="62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vyhláška nabývá z důvodu naléhavého obecného zájmu účinnosti dnem 1. ledna 2026.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0" w:line="256" w:lineRule="exact"/>
        <w:ind w:left="2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6.3pt;margin-top:-2.1pt;width:93.95pt;height:28.4pt;z-index:-125829376;mso-wrap-distance-left:5.pt;mso-wrap-distance-right:145.6pt;mso-wrap-distance-bottom:4.3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256" w:lineRule="exact"/>
                    <w:ind w:left="0" w:right="20" w:firstLine="0"/>
                  </w:pPr>
                  <w:r>
                    <w:rPr>
                      <w:rStyle w:val="CharStyle6"/>
                    </w:rPr>
                    <w:t>Rudolf Křepela v. r.</w:t>
                    <w:br/>
                    <w:t>starosta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7" type="#_x0000_t202" style="position:absolute;margin-left:112.85pt;margin-top:29.9pt;width:322.75pt;height:61.75pt;z-index:-125829375;mso-wrap-distance-left:111.6pt;mso-wrap-distance-right:50.2pt;mso-position-horizontal-relative:margin" wrapcoords="0 0 21600 0 21600 18944 10770 18944 10770 21600 9023 21600 9023 18944 0 18944 0 0" filled="f" stroked="f">
            <v:textbox style="mso-fit-shape-to-text:t" inset="0,0,0,0">
              <w:txbxContent>
                <w:p>
                  <w:pPr>
                    <w:framePr w:h="1235" w:hSpace="1004" w:wrap="notBeside" w:vAnchor="text" w:hAnchor="margin" w:x="2258" w:y="599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8" type="#_x0000_t75" style="width:323pt;height:62pt;">
                        <v:imagedata r:id="rId5" r:href="rId6"/>
                      </v:shape>
                    </w:pic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00" w:lineRule="exact"/>
                    <w:ind w:left="0" w:right="0" w:firstLine="0"/>
                  </w:pPr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r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8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■■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Milan Kratochvíl v. r.</w:t>
        <w:br/>
        <w:t>místostarosta</w:t>
      </w:r>
    </w:p>
    <w:sectPr>
      <w:type w:val="continuous"/>
      <w:pgSz w:w="11900" w:h="16840"/>
      <w:pgMar w:top="1192" w:left="1113" w:right="1045" w:bottom="1059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>§ 10o odst. 1 zákona o místních poplatcích.</w:t>
      </w:r>
    </w:p>
  </w:footnote>
  <w:footnote w:id="3"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>§ 15 odst. 1 zákona o místních poplatcích.</w:t>
      </w:r>
    </w:p>
  </w:footnote>
  <w:footnote w:id="4"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>§ 10e zákona o místních poplatcích.</w:t>
      </w:r>
    </w:p>
  </w:footnote>
  <w:footnote w:id="5"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20" w:right="0"/>
      </w:pP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>Za přihlášení fyzické osoby se podle § 16c zákona o místních poplatcích považuje (a) přihlášení k trvalému pobytu podle zákona o evidenci obyvatel, nebo (b) ohlášení místa pobytu podle zákona o pobytu cizinců na území České republiky, zákona o azylu nebo zákona o dočasné ochraně cizinců, jde-li o cizince, (1.) kterému byl povolen trvalý pobyt, (2.) který na území České republiky pobývá přechodně po dobu delší než 3 měsíce, (3.) který je žadatelem o udělení mezinárodní ochrany nebo osobou strpěnou na území podle zákona o azylu anebo žadatelem o poskytnutí dočasné ochrany podle zákona o dočasné ochraně cizinců, nebo (4.) kterému byla udělena mezinárodní ochrana nebo jde o cizince požívajícího dočasné ochrany cizinců.</w:t>
      </w:r>
    </w:p>
  </w:footnote>
  <w:footnote w:id="6"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>§ 10p zákona o místních poplatcích.</w:t>
      </w:r>
    </w:p>
  </w:footnote>
  <w:footnote w:id="7"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20" w:right="1100"/>
      </w:pP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>§ 14a odst. 1 a 2 zákona o místních poplatcích; v ohlášení poplatník uvede zejména své identifikační údaje a skutečnosti rozhodné pro stanovení poplatku.</w:t>
      </w:r>
    </w:p>
  </w:footnote>
  <w:footnote w:id="8"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>§ 14a odst. 4 zákona o místních poplatcích.</w:t>
      </w:r>
    </w:p>
  </w:footnote>
  <w:footnote w:id="9"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>§ 10h odst. 2 ve spojení s § 10o odst. 2 zákona o místních poplatcích.</w:t>
      </w:r>
    </w:p>
  </w:footnote>
  <w:footnote w:id="10"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>§ 10h odst. 3 ve spojení s § 10o odst. 2 zákona o místních poplatcích.</w:t>
      </w:r>
    </w:p>
  </w:footnote>
  <w:footnote w:id="11"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>§ 10g zákona o místních poplatcích.</w:t>
      </w:r>
    </w:p>
  </w:footnote>
  <w:footnote w:id="12"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>§ 14a odst. 6 zákona o místních poplatcích.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(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(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(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(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decimal"/>
      <w:lvlText w:val="(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1"/>
      <w:numFmt w:val="decimal"/>
      <w:lvlText w:val="(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Start w:val="1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Poznámka pod čarou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6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8">
    <w:name w:val="Titulek obrázku (2) Exact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0"/>
      <w:szCs w:val="10"/>
      <w:rFonts w:ascii="Arial" w:eastAsia="Arial" w:hAnsi="Arial" w:cs="Arial"/>
      <w:w w:val="250"/>
    </w:rPr>
  </w:style>
  <w:style w:type="character" w:customStyle="1" w:styleId="CharStyle10">
    <w:name w:val="Titulek obrázku Exact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</w:rPr>
  </w:style>
  <w:style w:type="character" w:customStyle="1" w:styleId="CharStyle12">
    <w:name w:val="Nadpis #1_"/>
    <w:basedOn w:val="DefaultParagraphFont"/>
    <w:link w:val="Style11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13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5">
    <w:name w:val="Základní text (3)_"/>
    <w:basedOn w:val="DefaultParagraphFont"/>
    <w:link w:val="Style14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7">
    <w:name w:val="Základní text (4)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</w:rPr>
  </w:style>
  <w:style w:type="paragraph" w:customStyle="1" w:styleId="Style3">
    <w:name w:val="Poznámka pod čarou"/>
    <w:basedOn w:val="Normal"/>
    <w:link w:val="CharStyle4"/>
    <w:pPr>
      <w:widowControl w:val="0"/>
      <w:shd w:val="clear" w:color="auto" w:fill="FFFFFF"/>
      <w:spacing w:line="205" w:lineRule="exact"/>
      <w:ind w:hanging="220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5">
    <w:name w:val="Základní text (2)"/>
    <w:basedOn w:val="Normal"/>
    <w:link w:val="CharStyle13"/>
    <w:pPr>
      <w:widowControl w:val="0"/>
      <w:shd w:val="clear" w:color="auto" w:fill="FFFFFF"/>
      <w:jc w:val="both"/>
      <w:spacing w:before="180" w:after="300" w:line="288" w:lineRule="exact"/>
      <w:ind w:hanging="640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7">
    <w:name w:val="Titulek obrázku (2)"/>
    <w:basedOn w:val="Normal"/>
    <w:link w:val="CharStyle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Arial" w:eastAsia="Arial" w:hAnsi="Arial" w:cs="Arial"/>
      <w:w w:val="250"/>
    </w:rPr>
  </w:style>
  <w:style w:type="paragraph" w:customStyle="1" w:styleId="Style9">
    <w:name w:val="Titulek obrázku"/>
    <w:basedOn w:val="Normal"/>
    <w:link w:val="CharStyle1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</w:rPr>
  </w:style>
  <w:style w:type="paragraph" w:customStyle="1" w:styleId="Style11">
    <w:name w:val="Nadpis #1"/>
    <w:basedOn w:val="Normal"/>
    <w:link w:val="CharStyle12"/>
    <w:pPr>
      <w:widowControl w:val="0"/>
      <w:shd w:val="clear" w:color="auto" w:fill="FFFFFF"/>
      <w:jc w:val="center"/>
      <w:outlineLvl w:val="0"/>
      <w:spacing w:after="60" w:line="0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14">
    <w:name w:val="Základní text (3)"/>
    <w:basedOn w:val="Normal"/>
    <w:link w:val="CharStyle15"/>
    <w:pPr>
      <w:widowControl w:val="0"/>
      <w:shd w:val="clear" w:color="auto" w:fill="FFFFFF"/>
      <w:jc w:val="center"/>
      <w:spacing w:before="300" w:after="6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6">
    <w:name w:val="Základní text (4)"/>
    <w:basedOn w:val="Normal"/>
    <w:link w:val="CharStyle17"/>
    <w:pPr>
      <w:widowControl w:val="0"/>
      <w:shd w:val="clear" w:color="auto" w:fill="FFFFFF"/>
      <w:spacing w:before="60" w:after="60"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