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69CCC18" w:rsidR="00850CCE" w:rsidRDefault="00B30DC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Valašské Meziříčí</w:t>
      </w:r>
    </w:p>
    <w:p w14:paraId="182B433B" w14:textId="6BD2E4D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30DC3">
        <w:rPr>
          <w:rFonts w:ascii="Arial" w:hAnsi="Arial" w:cs="Arial"/>
          <w:b/>
        </w:rPr>
        <w:t>města Valašské Meziříčí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6C5225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B5A0F">
        <w:rPr>
          <w:rFonts w:ascii="Arial" w:hAnsi="Arial" w:cs="Arial"/>
          <w:b/>
        </w:rPr>
        <w:t>města Valašské Meziříčí</w:t>
      </w:r>
    </w:p>
    <w:p w14:paraId="0C9CD16E" w14:textId="3566A8CC" w:rsidR="008F0DA9" w:rsidRDefault="008B5A0F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8B5A0F">
        <w:rPr>
          <w:rFonts w:ascii="Arial" w:hAnsi="Arial" w:cs="Arial"/>
          <w:b/>
        </w:rPr>
        <w:t>O MÍSTNÍM POPLATKU ZE PSŮ</w:t>
      </w:r>
    </w:p>
    <w:bookmarkEnd w:id="0"/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5A5092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B5A0F">
        <w:rPr>
          <w:rFonts w:ascii="Arial" w:hAnsi="Arial" w:cs="Arial"/>
          <w:sz w:val="22"/>
          <w:szCs w:val="22"/>
        </w:rPr>
        <w:t xml:space="preserve">města Valašské Meziříčí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B5A0F">
        <w:rPr>
          <w:rFonts w:ascii="Arial" w:hAnsi="Arial" w:cs="Arial"/>
          <w:sz w:val="22"/>
          <w:szCs w:val="22"/>
        </w:rPr>
        <w:t xml:space="preserve">18. 12. 2023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78C5B8" w:rsidR="00893F98" w:rsidRPr="0001228D" w:rsidRDefault="008B5A0F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Valašské Meziříčí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690959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7C28F4">
        <w:rPr>
          <w:rFonts w:ascii="Arial" w:hAnsi="Arial" w:cs="Arial"/>
          <w:sz w:val="22"/>
          <w:szCs w:val="22"/>
        </w:rPr>
        <w:t>m</w:t>
      </w:r>
      <w:r w:rsidR="008B5A0F">
        <w:rPr>
          <w:rFonts w:ascii="Arial" w:hAnsi="Arial" w:cs="Arial"/>
          <w:sz w:val="22"/>
          <w:szCs w:val="22"/>
        </w:rPr>
        <w:t>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2F402D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CD31BE">
        <w:rPr>
          <w:rFonts w:ascii="Arial" w:hAnsi="Arial" w:cs="Arial"/>
          <w:sz w:val="22"/>
          <w:szCs w:val="22"/>
        </w:rPr>
        <w:t>m</w:t>
      </w:r>
      <w:r w:rsidR="008B5A0F">
        <w:rPr>
          <w:rFonts w:ascii="Arial" w:hAnsi="Arial" w:cs="Arial"/>
          <w:sz w:val="22"/>
          <w:szCs w:val="22"/>
        </w:rPr>
        <w:t>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8B5A0F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6FDB8D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B5A0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19FDB5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2737C89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8B5A0F">
        <w:rPr>
          <w:rFonts w:ascii="Arial" w:hAnsi="Arial" w:cs="Arial"/>
          <w:sz w:val="22"/>
          <w:szCs w:val="22"/>
        </w:rPr>
        <w:t xml:space="preserve">v jednotlivých městských zónách dle přílohy č. 1 k této vyhlášce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8B5A0F">
        <w:rPr>
          <w:rFonts w:ascii="Arial" w:hAnsi="Arial" w:cs="Arial"/>
          <w:sz w:val="22"/>
          <w:szCs w:val="22"/>
        </w:rPr>
        <w:t xml:space="preserve"> za jednoho psa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4B255C7" w:rsidR="00893F98" w:rsidRPr="004035A7" w:rsidRDefault="008B5A0F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bytovém domě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1 260 </w:t>
      </w:r>
      <w:r w:rsidR="00893F98" w:rsidRPr="0080616A">
        <w:rPr>
          <w:rFonts w:ascii="Arial" w:hAnsi="Arial" w:cs="Arial"/>
          <w:sz w:val="22"/>
          <w:szCs w:val="22"/>
        </w:rPr>
        <w:t>Kč,</w:t>
      </w:r>
    </w:p>
    <w:p w14:paraId="3882CDDC" w14:textId="2446571E" w:rsidR="00893F98" w:rsidRPr="004035A7" w:rsidRDefault="008B5A0F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rodinném domě a jiných objektech v zóně 1 a 2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500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B7B19E1" w:rsidR="00893F98" w:rsidRDefault="008B5A0F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rodinném domě a jiných objektech v zóně 3 a 4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1E23">
        <w:rPr>
          <w:rFonts w:ascii="Arial" w:hAnsi="Arial" w:cs="Arial"/>
          <w:sz w:val="22"/>
          <w:szCs w:val="22"/>
        </w:rPr>
        <w:t xml:space="preserve">   300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4C9C97BE" w14:textId="71D61E84" w:rsidR="00711E23" w:rsidRDefault="00711E23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 v bytovém domě                            200 Kč,</w:t>
      </w:r>
    </w:p>
    <w:p w14:paraId="16748BA5" w14:textId="77777777" w:rsidR="00711E23" w:rsidRDefault="00711E23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 v rodinném domě a jiných objektech</w:t>
      </w:r>
    </w:p>
    <w:p w14:paraId="3B85E37D" w14:textId="442C6A3F" w:rsidR="00711E23" w:rsidRDefault="00711E23" w:rsidP="00711E2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zóně 1 a 2                                                                                               200 Kč, </w:t>
      </w:r>
    </w:p>
    <w:p w14:paraId="7EDC080C" w14:textId="77777777" w:rsidR="00711E23" w:rsidRDefault="00711E23" w:rsidP="00711E23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 v rodinném domě a jiných objektech</w:t>
      </w:r>
    </w:p>
    <w:p w14:paraId="1B98F8B3" w14:textId="59BC63F2" w:rsidR="00711E23" w:rsidRDefault="00711E23" w:rsidP="00711E2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zóně 3 a 4                                                                                               150 Kč.</w:t>
      </w:r>
    </w:p>
    <w:p w14:paraId="018358DB" w14:textId="575A1E60" w:rsidR="007F423A" w:rsidRPr="00711E23" w:rsidRDefault="00711E23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U druhého a každého dalšího psa téhož držitele se sazba poplatku zvyšuje o 50% z příslušné sazby poplatku uvedené v odst. 1 tohoto článku</w:t>
      </w:r>
    </w:p>
    <w:p w14:paraId="2B530F96" w14:textId="4433C401" w:rsidR="00711E23" w:rsidRDefault="00711E23" w:rsidP="00711E2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B575B1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F229B">
        <w:rPr>
          <w:rFonts w:ascii="Arial" w:hAnsi="Arial" w:cs="Arial"/>
          <w:sz w:val="22"/>
          <w:szCs w:val="22"/>
        </w:rPr>
        <w:t>30. 04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4A430C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F229B">
        <w:rPr>
          <w:rFonts w:ascii="Arial" w:hAnsi="Arial" w:cs="Arial"/>
          <w:sz w:val="22"/>
          <w:szCs w:val="22"/>
        </w:rPr>
        <w:t>.</w:t>
      </w:r>
    </w:p>
    <w:p w14:paraId="6898570E" w14:textId="196A7979" w:rsidR="0070058B" w:rsidRPr="00DF229B" w:rsidRDefault="0070058B" w:rsidP="00DF229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90B7F44" w14:textId="77777777" w:rsidR="00DF229B" w:rsidRPr="004035A7" w:rsidRDefault="00DF229B" w:rsidP="00DF229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>
        <w:rPr>
          <w:rFonts w:ascii="Arial" w:hAnsi="Arial" w:cs="Arial"/>
          <w:sz w:val="22"/>
          <w:szCs w:val="22"/>
        </w:rPr>
        <w:t>e držitel psa, kterým je</w:t>
      </w:r>
      <w:r w:rsidRPr="00D456D7">
        <w:rPr>
          <w:rFonts w:ascii="Arial" w:hAnsi="Arial" w:cs="Arial"/>
          <w:sz w:val="22"/>
          <w:szCs w:val="22"/>
        </w:rPr>
        <w:t>:</w:t>
      </w:r>
    </w:p>
    <w:p w14:paraId="391E096D" w14:textId="77777777" w:rsidR="00DF229B" w:rsidRPr="00D456D7" w:rsidRDefault="00DF229B" w:rsidP="00DF229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Valašské Meziříčí a nebo organizace, jejichž zřizovatelem nebo zakladatelem je Město Valašské Meziříčí</w:t>
      </w:r>
      <w:r w:rsidRPr="00D456D7">
        <w:rPr>
          <w:rFonts w:ascii="Arial" w:hAnsi="Arial" w:cs="Arial"/>
          <w:sz w:val="22"/>
          <w:szCs w:val="22"/>
        </w:rPr>
        <w:t>,</w:t>
      </w:r>
    </w:p>
    <w:p w14:paraId="505C7D81" w14:textId="77777777" w:rsidR="00DF229B" w:rsidRPr="00D456D7" w:rsidRDefault="00DF229B" w:rsidP="00DF229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Policie České republiky a nebo Městská policie Valašské Meziříčí</w:t>
      </w:r>
      <w:r w:rsidRPr="00D456D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je-li pes využíván ke služebním účelům,</w:t>
      </w:r>
    </w:p>
    <w:p w14:paraId="07478EB7" w14:textId="77777777" w:rsidR="00DF229B" w:rsidRDefault="00DF229B" w:rsidP="00DF229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jež drží speciálně cvičené záchranářské psy, pokud mají příslušné osvědčení,</w:t>
      </w:r>
    </w:p>
    <w:p w14:paraId="6A54EA52" w14:textId="0E7439E0" w:rsidR="00DF229B" w:rsidRDefault="00DF229B" w:rsidP="00DF229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si převzala psa z útulku pro zvířata na základě předávacího protokolu, a to pro rok převzetí a následující kalendářní rok.</w:t>
      </w:r>
    </w:p>
    <w:p w14:paraId="50FD2CE3" w14:textId="2F79F411" w:rsidR="0035732F" w:rsidRPr="00DF229B" w:rsidRDefault="00DF229B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368C">
        <w:rPr>
          <w:rFonts w:ascii="Arial" w:hAnsi="Arial" w:cs="Arial"/>
          <w:sz w:val="22"/>
          <w:szCs w:val="22"/>
        </w:rPr>
        <w:t>Úleva se poskytuje držiteli psa, kterým je osoba uvedená v odst. 2 písm. d), a to snížením příslušné sazby poplatku o 50 % pro další kalendářní roky, následující bezprostředně po posledním kalendářním roce, který byl dotčen osvobozením od poplatku.</w:t>
      </w:r>
    </w:p>
    <w:p w14:paraId="0A1177E1" w14:textId="2E2F0906" w:rsidR="00C7399D" w:rsidRPr="00CB0577" w:rsidRDefault="00C7399D" w:rsidP="00CB057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4F7979AD" w:rsidR="00C735F5" w:rsidRPr="00E559E2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B0577">
        <w:rPr>
          <w:rFonts w:ascii="Arial" w:hAnsi="Arial" w:cs="Arial"/>
          <w:sz w:val="22"/>
          <w:szCs w:val="22"/>
        </w:rPr>
        <w:t xml:space="preserve"> </w:t>
      </w:r>
      <w:r w:rsidR="00CB0577" w:rsidRPr="00E559E2">
        <w:rPr>
          <w:rFonts w:ascii="Arial" w:hAnsi="Arial" w:cs="Arial"/>
          <w:sz w:val="22"/>
          <w:szCs w:val="22"/>
        </w:rPr>
        <w:t>4</w:t>
      </w:r>
      <w:r w:rsidRPr="00E559E2">
        <w:rPr>
          <w:rFonts w:ascii="Arial" w:hAnsi="Arial" w:cs="Arial"/>
          <w:sz w:val="22"/>
          <w:szCs w:val="22"/>
        </w:rPr>
        <w:t>/</w:t>
      </w:r>
      <w:r w:rsidR="00CB0577" w:rsidRPr="00E559E2">
        <w:rPr>
          <w:rFonts w:ascii="Arial" w:hAnsi="Arial" w:cs="Arial"/>
          <w:sz w:val="22"/>
          <w:szCs w:val="22"/>
        </w:rPr>
        <w:t>2022 o místním poplatku ze psů</w:t>
      </w:r>
      <w:r w:rsidRPr="00E559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B0577" w:rsidRPr="00E559E2">
        <w:rPr>
          <w:rFonts w:ascii="Arial" w:hAnsi="Arial" w:cs="Arial"/>
          <w:sz w:val="22"/>
          <w:szCs w:val="22"/>
        </w:rPr>
        <w:t>20.06.2022.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A0CE77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B0577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0577" w14:paraId="7DEA4FB1" w14:textId="77777777" w:rsidTr="0088507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926B3" w14:textId="6EA4789C" w:rsidR="00CB0577" w:rsidRDefault="00CB0577" w:rsidP="00C5109B">
            <w:pPr>
              <w:pStyle w:val="PodpisovePole"/>
            </w:pPr>
            <w:r>
              <w:t>Mgr. Robert Stržínek</w:t>
            </w:r>
            <w:r w:rsidR="001C1A4E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E9BC2" w14:textId="3C70385F" w:rsidR="00CB0577" w:rsidRDefault="002D66AA" w:rsidP="0088507A">
            <w:pPr>
              <w:pStyle w:val="PodpisovePole"/>
            </w:pPr>
            <w:r>
              <w:t>Petr Nachtmann</w:t>
            </w:r>
            <w:r w:rsidR="001C1A4E">
              <w:t xml:space="preserve"> v.r.</w:t>
            </w:r>
            <w:r>
              <w:br/>
              <w:t xml:space="preserve"> místostarosta</w:t>
            </w:r>
          </w:p>
        </w:tc>
      </w:tr>
    </w:tbl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CD1531" w14:textId="77777777" w:rsidR="00D12C72" w:rsidRDefault="00D12C7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B2C1DB" w14:textId="77777777" w:rsidR="00D12C72" w:rsidRDefault="00D12C7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C3CC37" w14:textId="77777777" w:rsidR="00D12C72" w:rsidRDefault="00D12C7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7E5C22" w14:textId="77777777" w:rsidR="00D12C72" w:rsidRDefault="00D12C7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A14B76" w14:textId="77777777" w:rsidR="00D12C72" w:rsidRDefault="00D12C7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577035D" w14:textId="77777777" w:rsidR="00D12C72" w:rsidRDefault="00D12C72" w:rsidP="00D12C72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00250568" w14:textId="77777777" w:rsidR="00D12C72" w:rsidRDefault="00D12C72" w:rsidP="00D12C72"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obecně závazné vyhlášky </w:t>
      </w:r>
    </w:p>
    <w:p w14:paraId="270A7E1E" w14:textId="274D2426" w:rsidR="00D12C72" w:rsidRDefault="00D12C72" w:rsidP="00D12C72"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místním poplatku ze psů</w:t>
      </w:r>
    </w:p>
    <w:p w14:paraId="58950C27" w14:textId="77777777" w:rsidR="00D12C72" w:rsidRDefault="00D12C72" w:rsidP="00D12C72">
      <w:pPr>
        <w:pStyle w:val="Nadpis7"/>
        <w:rPr>
          <w:rFonts w:ascii="Arial" w:hAnsi="Arial" w:cs="Arial"/>
          <w:sz w:val="22"/>
          <w:szCs w:val="22"/>
        </w:rPr>
      </w:pPr>
    </w:p>
    <w:p w14:paraId="69002A67" w14:textId="77777777" w:rsidR="00D12C72" w:rsidRDefault="00D12C72" w:rsidP="00D12C72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Městské zóny</w:t>
      </w:r>
    </w:p>
    <w:p w14:paraId="4667A362" w14:textId="77777777" w:rsidR="00D12C72" w:rsidRDefault="00D12C72" w:rsidP="00D12C72">
      <w:pPr>
        <w:pStyle w:val="Zkladntext"/>
        <w:numPr>
          <w:ilvl w:val="0"/>
          <w:numId w:val="20"/>
        </w:numPr>
        <w:tabs>
          <w:tab w:val="num" w:pos="284"/>
        </w:tabs>
        <w:spacing w:after="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stanovení městských zón je rozlišit výhodnost polohy jednotlivých částí města podle jejich vzdálenosti od městského centra a podle pohybu a koncentrace obyvatelstva.</w:t>
      </w:r>
    </w:p>
    <w:p w14:paraId="10F3CB02" w14:textId="77777777" w:rsidR="00D12C72" w:rsidRDefault="00D12C72" w:rsidP="00D12C72">
      <w:pPr>
        <w:pStyle w:val="Zkladntext"/>
        <w:numPr>
          <w:ilvl w:val="0"/>
          <w:numId w:val="20"/>
        </w:numPr>
        <w:tabs>
          <w:tab w:val="num" w:pos="284"/>
        </w:tabs>
        <w:spacing w:after="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Území města je rozděleno na tyto čtyři zóny:</w:t>
      </w:r>
    </w:p>
    <w:p w14:paraId="73BFCE7C" w14:textId="77777777" w:rsidR="00D12C72" w:rsidRDefault="00D12C72" w:rsidP="00D12C72">
      <w:pPr>
        <w:numPr>
          <w:ilvl w:val="0"/>
          <w:numId w:val="21"/>
        </w:numPr>
        <w:tabs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ZÓNA 1 - CENTRUM</w:t>
      </w:r>
      <w:r>
        <w:rPr>
          <w:rFonts w:ascii="Arial" w:hAnsi="Arial" w:cs="Arial"/>
          <w:sz w:val="22"/>
          <w:szCs w:val="22"/>
        </w:rPr>
        <w:t>, jejíž hranici tvoří</w:t>
      </w:r>
    </w:p>
    <w:p w14:paraId="2061652F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Vsetínská ulice od křižovatky se Sokolskou ulicí po řeku Bečvu,</w:t>
      </w:r>
    </w:p>
    <w:p w14:paraId="5373728C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břeh řeky Bečvy od křížení se silničním nadjezdem po lávku z parku Kozina,</w:t>
      </w:r>
    </w:p>
    <w:p w14:paraId="0EFE40BA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Vrbenská ulice od lávky z parku Kozina po křižovatku se Zašovskou ulicí, </w:t>
      </w:r>
    </w:p>
    <w:p w14:paraId="4B05C735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Zašovská ulice od křižovatky s Vrbenskou ulicí po krásenskou radnici,</w:t>
      </w:r>
    </w:p>
    <w:p w14:paraId="37B81977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Masarykova ulice od krásenské radnice po křižovatku s Nádražní ulicí,  </w:t>
      </w:r>
    </w:p>
    <w:p w14:paraId="2CB5C293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Nádražní ulice od křižovatky s Masarykovou ulicí po křižovatku se Svěrákovou ulicí,</w:t>
      </w:r>
    </w:p>
    <w:p w14:paraId="53F63ACC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Svěrákova ulice od křižovatky s Nádražní ulicí po křižovatku s ulicí Křižnou,</w:t>
      </w:r>
    </w:p>
    <w:p w14:paraId="283A8332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Křižná ulice od křižovatky se Svěrákovou ulicí po hřiště ZŠ Křižná,</w:t>
      </w:r>
    </w:p>
    <w:p w14:paraId="67C7DBE5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 mezi zahradou a hřištěm ZŠ Křižná,</w:t>
      </w:r>
    </w:p>
    <w:p w14:paraId="794BCC03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Vodní ulice od chodníku mezi zahradou a hřištěm ZŠ Křižná po lávku přes Bečvu, </w:t>
      </w:r>
    </w:p>
    <w:p w14:paraId="6BDE778A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myšlená spojnice od lávky přes Bečvu kolem areálu zámku Žerotínů po tělocvičnu gymnázia  na Sokolské ulici,</w:t>
      </w:r>
    </w:p>
    <w:p w14:paraId="509CCB10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Sokolská ulice od tělocvičny gymnázia po křižovatku se Vsetínskou ulicí.</w:t>
      </w:r>
    </w:p>
    <w:p w14:paraId="2A270E3D" w14:textId="77777777" w:rsidR="00D12C72" w:rsidRDefault="00D12C72" w:rsidP="00D12C72">
      <w:pPr>
        <w:pStyle w:val="Zkladntextodsazen"/>
        <w:numPr>
          <w:ilvl w:val="0"/>
          <w:numId w:val="22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zóny 1 patří i objekt železniční stanice Valašské Meziříčí.</w:t>
      </w:r>
    </w:p>
    <w:p w14:paraId="375A0371" w14:textId="77777777" w:rsidR="00D12C72" w:rsidRDefault="00D12C72" w:rsidP="00D12C72">
      <w:pPr>
        <w:pStyle w:val="Zkladntextodsazen"/>
        <w:numPr>
          <w:ilvl w:val="0"/>
          <w:numId w:val="21"/>
        </w:numPr>
        <w:tabs>
          <w:tab w:val="num" w:pos="426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ZÓNA 2 - MĚSTO</w:t>
      </w:r>
      <w:r>
        <w:rPr>
          <w:rFonts w:ascii="Arial" w:hAnsi="Arial" w:cs="Arial"/>
          <w:sz w:val="22"/>
          <w:szCs w:val="22"/>
        </w:rPr>
        <w:t>, jejíž hranici tvoří</w:t>
      </w:r>
    </w:p>
    <w:p w14:paraId="1342D242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U Kasáren od křižovatky s Šafaříkovou ulicí po křižovatku se Žerotínovou ulicí,</w:t>
      </w:r>
    </w:p>
    <w:p w14:paraId="0588D70B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myšlená spojnice přes řeku Bečvu od křižovatky ulic U Kasáren a Žerotínova po vyústění cesty navazující na ulici Na Potůčkách u Povodí Moravy (Hemy),</w:t>
      </w:r>
    </w:p>
    <w:p w14:paraId="6DAE62C9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Hemy od břehu řeky Bečvy (u Povodí Moravy) po křižovatku ulic Zašovská a Na Potůčkách,</w:t>
      </w:r>
    </w:p>
    <w:p w14:paraId="5610B626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Zašovská ulice od křižovatky s ulicí Na Potůčkách po křižovatku se spojkou mezi ulicemi Zašovská a Rožnovská,</w:t>
      </w:r>
    </w:p>
    <w:p w14:paraId="5A28B6D4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spojka mezi Zašovskou a Rožnovskou ulicí od  křižovatky se Zašovskou ulicí po myšlený průsečík železniční trati Rožnov - Valašské Meziříčí,</w:t>
      </w:r>
    </w:p>
    <w:p w14:paraId="66FAD9DA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železniční trať Rožnov - Valašské Meziříčí od  průsečíku se spojkou ulice Zašovská a Rožnovská po úrovňové křížení železniční trati  se Zámeckou ulicí,</w:t>
      </w:r>
    </w:p>
    <w:p w14:paraId="40845D2E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Zámecká ulice od úrovňového křížení s železniční tratí po křižovatku s chodníkem   mezi Zámeckým parkem a mlékárnami,</w:t>
      </w:r>
    </w:p>
    <w:p w14:paraId="30F79783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 mezi Zámeckým parkem a mlékárnami od mlékáren po vyústění na Nádražní ulici,</w:t>
      </w:r>
    </w:p>
    <w:p w14:paraId="257C425A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Nádražní ulice od vyústění chodníku po křižovatku s ulicí Sokolskou u firmy Kraft,</w:t>
      </w:r>
    </w:p>
    <w:p w14:paraId="2B0A2E4B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Palackého ulice od křižovatky se Sokolskou ulicí po křižovatku se Vsetínskou ulicí,</w:t>
      </w:r>
    </w:p>
    <w:p w14:paraId="409EC48B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Vsetínská ulice od křižovatky s Palackého ulicí po křižovatku s ulicí Výletní,</w:t>
      </w:r>
    </w:p>
    <w:p w14:paraId="25E6E569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Výletní ulice od křižovatky se Vsetínskou ulicí po křižovatku s ulicí Pod Stínadly,</w:t>
      </w:r>
    </w:p>
    <w:p w14:paraId="25FBA99D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Pod Stínadly od křižovatky s ulicí Výletní po konec ulice,</w:t>
      </w:r>
    </w:p>
    <w:p w14:paraId="42A6B5EA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myšlená spojnice od konce ulice Pod Stínadly po dům č. 1231 na Ulici U Vodojemu,</w:t>
      </w:r>
    </w:p>
    <w:p w14:paraId="109DAF99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U Vodojemu od domu č. 1231 po křižovatku s Horskou ulicí, </w:t>
      </w:r>
    </w:p>
    <w:p w14:paraId="0C662F0B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Horská ulice od začátku po křižovatku s ulicí Štěpánov,</w:t>
      </w:r>
    </w:p>
    <w:p w14:paraId="47275DC9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Štěpánov od křižovatky s Horskou ulicí po křižovatku s Bezručovou ulicí,</w:t>
      </w:r>
    </w:p>
    <w:p w14:paraId="4C45C8FA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Bezručova ulice od křižovatky s ulicí Štěpánov po křižovatku s Šafaříkovou ulicí, </w:t>
      </w:r>
    </w:p>
    <w:p w14:paraId="2C3BFA4F" w14:textId="77777777" w:rsidR="00D12C72" w:rsidRDefault="00D12C72" w:rsidP="00D12C72">
      <w:pPr>
        <w:numPr>
          <w:ilvl w:val="0"/>
          <w:numId w:val="22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Šafaříkova ulice od křižovatky s Bezručovou ulicí po křižovatku s ulicí U Kasáren.</w:t>
      </w:r>
    </w:p>
    <w:p w14:paraId="13FE7A39" w14:textId="77777777" w:rsidR="00D12C72" w:rsidRDefault="00D12C72" w:rsidP="00D12C72">
      <w:pPr>
        <w:numPr>
          <w:ilvl w:val="0"/>
          <w:numId w:val="21"/>
        </w:numPr>
        <w:tabs>
          <w:tab w:val="num" w:pos="426"/>
          <w:tab w:val="left" w:pos="567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ZÓNA 3 </w:t>
      </w:r>
      <w:r>
        <w:rPr>
          <w:rFonts w:ascii="Arial" w:hAnsi="Arial" w:cs="Arial"/>
          <w:sz w:val="22"/>
          <w:szCs w:val="22"/>
        </w:rPr>
        <w:t>- do této zóny spadají zbývající části k.ú. Valašské Meziříčí, Krásno nad Bečvou, Juřinka, Bynina, Hrachovec a části Podlesí - Křivé.</w:t>
      </w:r>
    </w:p>
    <w:p w14:paraId="2ED8AFCE" w14:textId="24A3A829" w:rsidR="00D12C72" w:rsidRDefault="00D12C72" w:rsidP="00D12C7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 </w:t>
      </w:r>
      <w:r>
        <w:rPr>
          <w:rFonts w:ascii="Arial" w:hAnsi="Arial" w:cs="Arial"/>
          <w:b/>
          <w:bCs/>
          <w:sz w:val="22"/>
          <w:szCs w:val="22"/>
        </w:rPr>
        <w:t xml:space="preserve">ZÓNA 4 - </w:t>
      </w:r>
      <w:r>
        <w:rPr>
          <w:rFonts w:ascii="Arial" w:hAnsi="Arial" w:cs="Arial"/>
          <w:sz w:val="22"/>
          <w:szCs w:val="22"/>
        </w:rPr>
        <w:t>tato zóna je totožná s k.ú. místní části Lhota a části Podlesí - Brňov.</w:t>
      </w:r>
    </w:p>
    <w:p w14:paraId="49DD45AE" w14:textId="77777777" w:rsidR="00D12C72" w:rsidRPr="00A60454" w:rsidRDefault="00D12C7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D12C72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BB9E7" w14:textId="77777777" w:rsidR="00B15D69" w:rsidRDefault="00B15D69">
      <w:r>
        <w:separator/>
      </w:r>
    </w:p>
  </w:endnote>
  <w:endnote w:type="continuationSeparator" w:id="0">
    <w:p w14:paraId="5578ABC9" w14:textId="77777777" w:rsidR="00B15D69" w:rsidRDefault="00B1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B27E83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B45E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31684" w14:textId="77777777" w:rsidR="00B15D69" w:rsidRDefault="00B15D69">
      <w:r>
        <w:separator/>
      </w:r>
    </w:p>
  </w:footnote>
  <w:footnote w:type="continuationSeparator" w:id="0">
    <w:p w14:paraId="2C33A755" w14:textId="77777777" w:rsidR="00B15D69" w:rsidRDefault="00B15D6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9748809" w14:textId="77777777" w:rsidR="00711E23" w:rsidRDefault="00711E23" w:rsidP="00711E23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C4D82"/>
    <w:multiLevelType w:val="singleLevel"/>
    <w:tmpl w:val="12CEB5F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9015BE"/>
    <w:multiLevelType w:val="singleLevel"/>
    <w:tmpl w:val="9C98F59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5" w15:restartNumberingAfterBreak="0">
    <w:nsid w:val="740234E2"/>
    <w:multiLevelType w:val="singleLevel"/>
    <w:tmpl w:val="E080196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3"/>
  </w:num>
  <w:num w:numId="5">
    <w:abstractNumId w:val="16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"/>
  </w:num>
  <w:num w:numId="19">
    <w:abstractNumId w:val="3"/>
  </w:num>
  <w:num w:numId="20">
    <w:abstractNumId w:val="15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1A4E"/>
    <w:rsid w:val="001C2D2F"/>
    <w:rsid w:val="001E16DD"/>
    <w:rsid w:val="002018AD"/>
    <w:rsid w:val="002223EB"/>
    <w:rsid w:val="00237FD0"/>
    <w:rsid w:val="0025437E"/>
    <w:rsid w:val="002824A7"/>
    <w:rsid w:val="00291F2C"/>
    <w:rsid w:val="002A0A74"/>
    <w:rsid w:val="002B3C2F"/>
    <w:rsid w:val="002B51B3"/>
    <w:rsid w:val="002B7506"/>
    <w:rsid w:val="002C0B37"/>
    <w:rsid w:val="002D2A22"/>
    <w:rsid w:val="002D66AA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3162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1E23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28F4"/>
    <w:rsid w:val="007D087D"/>
    <w:rsid w:val="007D4229"/>
    <w:rsid w:val="007F423A"/>
    <w:rsid w:val="00811C33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9"/>
    <w:rsid w:val="00881D41"/>
    <w:rsid w:val="00881F45"/>
    <w:rsid w:val="00885180"/>
    <w:rsid w:val="00887F1C"/>
    <w:rsid w:val="00893668"/>
    <w:rsid w:val="00893F98"/>
    <w:rsid w:val="00895C29"/>
    <w:rsid w:val="008B5A0F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383E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5D69"/>
    <w:rsid w:val="00B206A7"/>
    <w:rsid w:val="00B27732"/>
    <w:rsid w:val="00B30DC3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09B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0577"/>
    <w:rsid w:val="00CB3885"/>
    <w:rsid w:val="00CB45EB"/>
    <w:rsid w:val="00CC3463"/>
    <w:rsid w:val="00CD31BE"/>
    <w:rsid w:val="00CD4F5E"/>
    <w:rsid w:val="00CD7B66"/>
    <w:rsid w:val="00CE27F8"/>
    <w:rsid w:val="00CF1C36"/>
    <w:rsid w:val="00CF60DA"/>
    <w:rsid w:val="00D12227"/>
    <w:rsid w:val="00D12C72"/>
    <w:rsid w:val="00D14500"/>
    <w:rsid w:val="00D17DB8"/>
    <w:rsid w:val="00D250F9"/>
    <w:rsid w:val="00D320E5"/>
    <w:rsid w:val="00D344A6"/>
    <w:rsid w:val="00D52FC4"/>
    <w:rsid w:val="00D63CCB"/>
    <w:rsid w:val="00D71ADA"/>
    <w:rsid w:val="00D819EC"/>
    <w:rsid w:val="00D8544F"/>
    <w:rsid w:val="00D9652F"/>
    <w:rsid w:val="00DC375C"/>
    <w:rsid w:val="00DC518A"/>
    <w:rsid w:val="00DD1BF9"/>
    <w:rsid w:val="00DF229B"/>
    <w:rsid w:val="00E1137F"/>
    <w:rsid w:val="00E132DB"/>
    <w:rsid w:val="00E170BF"/>
    <w:rsid w:val="00E222ED"/>
    <w:rsid w:val="00E4247A"/>
    <w:rsid w:val="00E470C2"/>
    <w:rsid w:val="00E559E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4217"/>
    <w:rsid w:val="00FA15BD"/>
    <w:rsid w:val="00FA3D1C"/>
    <w:rsid w:val="00FA6D81"/>
    <w:rsid w:val="00FB319D"/>
    <w:rsid w:val="00FB52B2"/>
    <w:rsid w:val="00FB5EC2"/>
    <w:rsid w:val="00FB6C7B"/>
    <w:rsid w:val="00FC2D8D"/>
    <w:rsid w:val="00FD04C9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12C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B057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7Char">
    <w:name w:val="Nadpis 7 Char"/>
    <w:basedOn w:val="Standardnpsmoodstavce"/>
    <w:link w:val="Nadpis7"/>
    <w:semiHidden/>
    <w:rsid w:val="00D12C7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D12C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12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2377-4630-4AC4-A4B0-FBCD65E8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6697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Schlauchová Iveta</cp:lastModifiedBy>
  <cp:revision>2</cp:revision>
  <cp:lastPrinted>2023-12-19T08:34:00Z</cp:lastPrinted>
  <dcterms:created xsi:type="dcterms:W3CDTF">2023-12-19T08:36:00Z</dcterms:created>
  <dcterms:modified xsi:type="dcterms:W3CDTF">2023-12-19T08:36:00Z</dcterms:modified>
</cp:coreProperties>
</file>