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footnotes.xml" ContentType="application/vnd.openxmlformats-officedocument.wordprocessingml.footnot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Override PartName="/word/_rels/document.xml.rels" ContentType="application/vnd.openxmlformats-package.relationships+xml"/>
  <Override PartName="/customXml/item1.xml" ContentType="application/xml"/>
  <Override PartName="/customXml/itemProps1.xml" ContentType="application/vnd.openxmlformats-officedocument.customXmlProperties+xml"/>
  <Override PartName="/customXml/_rels/item1.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jc w:val="center"/>
        <w:rPr>
          <w:rFonts w:ascii="Arial" w:hAnsi="Arial" w:cs="Arial"/>
          <w:bCs/>
          <w:sz w:val="22"/>
          <w:szCs w:val="22"/>
        </w:rPr>
      </w:pPr>
      <w:r>
        <w:rPr>
          <w:rFonts w:cs="Arial" w:ascii="Arial" w:hAnsi="Arial"/>
          <w:bCs/>
          <w:sz w:val="22"/>
          <w:szCs w:val="22"/>
        </w:rPr>
      </w:r>
    </w:p>
    <w:p>
      <w:pPr>
        <w:pStyle w:val="Normal"/>
        <w:spacing w:lineRule="auto" w:line="276"/>
        <w:jc w:val="center"/>
        <w:rPr/>
      </w:pPr>
      <w:r>
        <w:rPr>
          <w:rFonts w:cs="Arial" w:ascii="Arial" w:hAnsi="Arial"/>
          <w:b/>
        </w:rPr>
        <w:t xml:space="preserve">OBEC </w:t>
      </w:r>
      <w:r>
        <w:rPr>
          <w:rFonts w:cs="Arial" w:ascii="Arial" w:hAnsi="Arial"/>
          <w:b/>
          <w:sz w:val="24"/>
          <w:szCs w:val="24"/>
        </w:rPr>
        <w:t>HODĚJICE</w:t>
      </w:r>
    </w:p>
    <w:p>
      <w:pPr>
        <w:pStyle w:val="Normal"/>
        <w:spacing w:lineRule="auto" w:line="276"/>
        <w:jc w:val="center"/>
        <w:rPr/>
      </w:pPr>
      <w:r>
        <w:rPr>
          <w:rFonts w:cs="Arial" w:ascii="Arial" w:hAnsi="Arial"/>
          <w:b/>
        </w:rPr>
        <w:t xml:space="preserve">Zastupitelstvo obce </w:t>
      </w:r>
      <w:r>
        <w:rPr>
          <w:rFonts w:cs="Arial" w:ascii="Arial" w:hAnsi="Arial"/>
          <w:b/>
          <w:sz w:val="24"/>
          <w:szCs w:val="24"/>
        </w:rPr>
        <w:t>Hodějice</w:t>
      </w:r>
    </w:p>
    <w:p>
      <w:pPr>
        <w:pStyle w:val="Normal"/>
        <w:spacing w:lineRule="auto" w:line="276"/>
        <w:jc w:val="center"/>
        <w:rPr/>
      </w:pPr>
      <w:r>
        <w:rPr>
          <w:rFonts w:cs="Arial" w:ascii="Arial" w:hAnsi="Arial"/>
          <w:b/>
        </w:rPr>
        <w:t xml:space="preserve">Obecně závazná vyhláška obce </w:t>
      </w:r>
      <w:r>
        <w:rPr>
          <w:rFonts w:cs="Arial" w:ascii="Arial" w:hAnsi="Arial"/>
          <w:b/>
          <w:sz w:val="24"/>
          <w:szCs w:val="24"/>
        </w:rPr>
        <w:t>Hodějice</w:t>
      </w:r>
    </w:p>
    <w:p>
      <w:pPr>
        <w:pStyle w:val="NormlnIMP"/>
        <w:spacing w:lineRule="auto" w:line="240"/>
        <w:jc w:val="center"/>
        <w:rPr>
          <w:rFonts w:ascii="Arial" w:hAnsi="Arial" w:cs="Arial"/>
          <w:b/>
          <w:b/>
          <w:color w:val="000000"/>
          <w:sz w:val="22"/>
          <w:szCs w:val="22"/>
        </w:rPr>
      </w:pPr>
      <w:r>
        <w:rPr>
          <w:rFonts w:cs="Arial" w:ascii="Arial" w:hAnsi="Arial"/>
          <w:b/>
          <w:color w:val="000000"/>
          <w:sz w:val="22"/>
          <w:szCs w:val="22"/>
        </w:rPr>
      </w:r>
    </w:p>
    <w:p>
      <w:pPr>
        <w:pStyle w:val="NormlnIMP"/>
        <w:spacing w:lineRule="auto" w:line="240"/>
        <w:jc w:val="center"/>
        <w:rPr>
          <w:rFonts w:ascii="Arial" w:hAnsi="Arial" w:cs="Arial"/>
          <w:b/>
          <w:b/>
          <w:color w:val="000000"/>
          <w:sz w:val="22"/>
          <w:szCs w:val="22"/>
        </w:rPr>
      </w:pPr>
      <w:r>
        <w:rPr>
          <w:rFonts w:cs="Arial" w:ascii="Arial" w:hAnsi="Arial"/>
          <w:b/>
          <w:color w:val="000000"/>
          <w:sz w:val="22"/>
          <w:szCs w:val="22"/>
        </w:rPr>
        <w:t xml:space="preserve">o stanovení obecního systému odpadového hospodářství </w:t>
      </w:r>
    </w:p>
    <w:p>
      <w:pPr>
        <w:pStyle w:val="Normal"/>
        <w:jc w:val="both"/>
        <w:rPr>
          <w:rFonts w:ascii="Arial" w:hAnsi="Arial" w:cs="Arial"/>
          <w:sz w:val="22"/>
          <w:szCs w:val="22"/>
        </w:rPr>
      </w:pPr>
      <w:r>
        <w:rPr>
          <w:rFonts w:cs="Arial" w:ascii="Arial" w:hAnsi="Arial"/>
          <w:sz w:val="22"/>
          <w:szCs w:val="22"/>
        </w:rPr>
      </w:r>
    </w:p>
    <w:p>
      <w:pPr>
        <w:pStyle w:val="BodyTextIndent2"/>
        <w:ind w:left="0" w:hanging="0"/>
        <w:rPr/>
      </w:pPr>
      <w:r>
        <w:rPr>
          <w:rFonts w:cs="Arial" w:ascii="Arial" w:hAnsi="Arial"/>
          <w:sz w:val="22"/>
          <w:szCs w:val="22"/>
        </w:rPr>
        <w:t xml:space="preserve">Zastupitelstvo obce </w:t>
      </w:r>
      <w:r>
        <w:rPr>
          <w:rFonts w:cs="Arial" w:ascii="Arial" w:hAnsi="Arial"/>
          <w:bCs/>
          <w:sz w:val="22"/>
          <w:szCs w:val="22"/>
        </w:rPr>
        <w:t>Hodějice</w:t>
      </w:r>
      <w:r>
        <w:rPr>
          <w:rFonts w:cs="Arial" w:ascii="Arial" w:hAnsi="Arial"/>
          <w:sz w:val="22"/>
          <w:szCs w:val="22"/>
        </w:rPr>
        <w:t xml:space="preserve"> se na svém zasedání dne 18. 12. 2024 usnesením č. 8 usneslo vydat na základě § 59 odst. 4 zákona č. 541/2020 Sb., o odpadech (dále jen „zákon </w:t>
        <w:br/>
        <w:t xml:space="preserve">o odpadech“), a v souladu s § 10 písm. d) a § 84 odst. 2 písm. h) zákona č. 128/2000 Sb., </w:t>
        <w:br/>
        <w:t>o obcích (obecní zřízení), ve znění pozdějších předpisů, tuto obecně závaznou vyhlášku (dále jen „vyhláška“):</w:t>
      </w:r>
    </w:p>
    <w:p>
      <w:pPr>
        <w:pStyle w:val="Normal"/>
        <w:jc w:val="center"/>
        <w:rPr>
          <w:rFonts w:ascii="Arial" w:hAnsi="Arial" w:cs="Arial"/>
          <w:b/>
          <w:b/>
          <w:sz w:val="22"/>
          <w:szCs w:val="22"/>
        </w:rPr>
      </w:pPr>
      <w:r>
        <w:rPr>
          <w:rFonts w:cs="Arial" w:ascii="Arial" w:hAnsi="Arial"/>
          <w:b/>
          <w:sz w:val="22"/>
          <w:szCs w:val="22"/>
        </w:rPr>
      </w:r>
    </w:p>
    <w:p>
      <w:pPr>
        <w:pStyle w:val="Normal"/>
        <w:jc w:val="center"/>
        <w:rPr>
          <w:rFonts w:ascii="Arial" w:hAnsi="Arial" w:cs="Arial"/>
          <w:b/>
          <w:b/>
          <w:sz w:val="22"/>
          <w:szCs w:val="22"/>
        </w:rPr>
      </w:pPr>
      <w:r>
        <w:rPr>
          <w:rFonts w:cs="Arial" w:ascii="Arial" w:hAnsi="Arial"/>
          <w:b/>
          <w:sz w:val="22"/>
          <w:szCs w:val="22"/>
        </w:rPr>
        <w:t>Čl. 1</w:t>
      </w:r>
    </w:p>
    <w:p>
      <w:pPr>
        <w:pStyle w:val="Nadpis2"/>
        <w:jc w:val="center"/>
        <w:rPr>
          <w:rFonts w:ascii="Arial" w:hAnsi="Arial" w:cs="Arial"/>
          <w:b/>
          <w:b/>
          <w:bCs/>
          <w:sz w:val="22"/>
          <w:szCs w:val="22"/>
          <w:u w:val="none"/>
        </w:rPr>
      </w:pPr>
      <w:r>
        <w:rPr>
          <w:rFonts w:cs="Arial" w:ascii="Arial" w:hAnsi="Arial"/>
          <w:b/>
          <w:bCs/>
          <w:sz w:val="22"/>
          <w:szCs w:val="22"/>
          <w:u w:val="none"/>
        </w:rPr>
        <w:t>Úvodní ustanovení</w:t>
      </w:r>
    </w:p>
    <w:p>
      <w:pPr>
        <w:pStyle w:val="Normal"/>
        <w:tabs>
          <w:tab w:val="clear" w:pos="708"/>
          <w:tab w:val="left" w:pos="567" w:leader="none"/>
        </w:tabs>
        <w:jc w:val="both"/>
        <w:rPr>
          <w:rFonts w:ascii="Arial" w:hAnsi="Arial" w:cs="Arial"/>
          <w:sz w:val="22"/>
          <w:szCs w:val="22"/>
        </w:rPr>
      </w:pPr>
      <w:r>
        <w:rPr>
          <w:rFonts w:cs="Arial" w:ascii="Arial" w:hAnsi="Arial"/>
          <w:sz w:val="22"/>
          <w:szCs w:val="22"/>
        </w:rPr>
      </w:r>
    </w:p>
    <w:p>
      <w:pPr>
        <w:pStyle w:val="Normal"/>
        <w:numPr>
          <w:ilvl w:val="0"/>
          <w:numId w:val="8"/>
        </w:numPr>
        <w:tabs>
          <w:tab w:val="clear" w:pos="708"/>
          <w:tab w:val="left" w:pos="0" w:leader="none"/>
        </w:tabs>
        <w:ind w:left="0" w:hanging="426"/>
        <w:jc w:val="both"/>
        <w:rPr/>
      </w:pPr>
      <w:r>
        <w:rPr>
          <w:rFonts w:cs="Arial" w:ascii="Arial" w:hAnsi="Arial"/>
          <w:sz w:val="22"/>
          <w:szCs w:val="22"/>
        </w:rPr>
        <w:t>Tato vyhláška stanovuje obecní systém odpadového hospodářství na území obce Hodějice.</w:t>
      </w:r>
    </w:p>
    <w:p>
      <w:pPr>
        <w:pStyle w:val="Normal"/>
        <w:tabs>
          <w:tab w:val="clear" w:pos="708"/>
          <w:tab w:val="left" w:pos="567" w:leader="none"/>
        </w:tabs>
        <w:jc w:val="both"/>
        <w:rPr>
          <w:rFonts w:ascii="Arial" w:hAnsi="Arial" w:cs="Arial"/>
          <w:i/>
          <w:i/>
          <w:color w:val="00B0F0"/>
          <w:sz w:val="22"/>
          <w:szCs w:val="22"/>
        </w:rPr>
      </w:pPr>
      <w:r>
        <w:rPr>
          <w:rFonts w:cs="Arial" w:ascii="Arial" w:hAnsi="Arial"/>
          <w:i/>
          <w:color w:val="00B0F0"/>
          <w:sz w:val="22"/>
          <w:szCs w:val="22"/>
        </w:rPr>
      </w:r>
    </w:p>
    <w:p>
      <w:pPr>
        <w:pStyle w:val="Normal"/>
        <w:tabs>
          <w:tab w:val="clear" w:pos="708"/>
          <w:tab w:val="left" w:pos="567" w:leader="none"/>
        </w:tabs>
        <w:jc w:val="both"/>
        <w:rPr>
          <w:rFonts w:ascii="Arial" w:hAnsi="Arial" w:cs="Arial"/>
          <w:color w:val="FF0000"/>
          <w:sz w:val="22"/>
          <w:szCs w:val="22"/>
        </w:rPr>
      </w:pPr>
      <w:r>
        <w:rPr>
          <w:rFonts w:cs="Arial" w:ascii="Arial" w:hAnsi="Arial"/>
          <w:color w:val="FF0000"/>
          <w:sz w:val="22"/>
          <w:szCs w:val="22"/>
        </w:rPr>
      </w:r>
    </w:p>
    <w:p>
      <w:pPr>
        <w:pStyle w:val="Normal"/>
        <w:numPr>
          <w:ilvl w:val="0"/>
          <w:numId w:val="8"/>
        </w:numPr>
        <w:tabs>
          <w:tab w:val="clear" w:pos="708"/>
          <w:tab w:val="left" w:pos="-142" w:leader="none"/>
        </w:tabs>
        <w:ind w:left="0" w:hanging="426"/>
        <w:jc w:val="both"/>
        <w:rPr>
          <w:rFonts w:ascii="Arial" w:hAnsi="Arial" w:cs="Arial"/>
          <w:sz w:val="22"/>
          <w:szCs w:val="22"/>
        </w:rPr>
      </w:pPr>
      <w:r>
        <w:rPr>
          <w:rFonts w:cs="Arial" w:ascii="Arial" w:hAnsi="Arial"/>
          <w:color w:val="FF0000"/>
          <w:sz w:val="22"/>
          <w:szCs w:val="22"/>
        </w:rPr>
        <w:t xml:space="preserve">  </w:t>
      </w:r>
      <w:r>
        <w:rPr>
          <w:rFonts w:cs="Arial" w:ascii="Arial" w:hAnsi="Arial"/>
          <w:sz w:val="22"/>
          <w:szCs w:val="22"/>
        </w:rPr>
        <w:t>Každý je povinen odpad nebo movitou věc, které předává do obecního systému, odkládat na místa určená obcí v souladu s povinnostmi stanovenými pro daný druh, kategorii nebo materiál odpadu nebo movitých věcí zákonem o odpadech a touto vyhláškou</w:t>
      </w:r>
      <w:r>
        <w:rPr>
          <w:rStyle w:val="Ukotvenpoznmkypodarou"/>
          <w:rFonts w:cs="Arial" w:ascii="Arial" w:hAnsi="Arial"/>
          <w:sz w:val="22"/>
          <w:szCs w:val="22"/>
        </w:rPr>
        <w:footnoteReference w:id="2"/>
      </w:r>
      <w:r>
        <w:rPr>
          <w:rFonts w:cs="Arial" w:ascii="Arial" w:hAnsi="Arial"/>
          <w:sz w:val="22"/>
          <w:szCs w:val="22"/>
        </w:rPr>
        <w:t>.</w:t>
      </w:r>
    </w:p>
    <w:p>
      <w:pPr>
        <w:pStyle w:val="Normal"/>
        <w:tabs>
          <w:tab w:val="clear" w:pos="708"/>
          <w:tab w:val="left" w:pos="567" w:leader="none"/>
        </w:tabs>
        <w:jc w:val="both"/>
        <w:rPr>
          <w:rFonts w:ascii="Arial" w:hAnsi="Arial" w:cs="Arial"/>
          <w:sz w:val="22"/>
          <w:szCs w:val="22"/>
        </w:rPr>
      </w:pPr>
      <w:r>
        <w:rPr>
          <w:rFonts w:cs="Arial" w:ascii="Arial" w:hAnsi="Arial"/>
          <w:sz w:val="22"/>
          <w:szCs w:val="22"/>
        </w:rPr>
      </w:r>
    </w:p>
    <w:p>
      <w:pPr>
        <w:pStyle w:val="Normal"/>
        <w:numPr>
          <w:ilvl w:val="0"/>
          <w:numId w:val="8"/>
        </w:numPr>
        <w:tabs>
          <w:tab w:val="clear" w:pos="708"/>
          <w:tab w:val="left" w:pos="-142" w:leader="none"/>
        </w:tabs>
        <w:ind w:left="0" w:hanging="426"/>
        <w:jc w:val="both"/>
        <w:rPr>
          <w:rFonts w:ascii="Arial" w:hAnsi="Arial" w:cs="Arial"/>
          <w:sz w:val="22"/>
          <w:szCs w:val="22"/>
        </w:rPr>
      </w:pPr>
      <w:r>
        <w:rPr>
          <w:rFonts w:cs="Arial" w:ascii="Arial" w:hAnsi="Arial"/>
          <w:sz w:val="22"/>
          <w:szCs w:val="22"/>
        </w:rPr>
        <w:t xml:space="preserve">  </w:t>
      </w:r>
      <w:r>
        <w:rPr>
          <w:rFonts w:cs="Arial" w:ascii="Arial" w:hAnsi="Arial"/>
          <w:sz w:val="22"/>
          <w:szCs w:val="22"/>
        </w:rPr>
        <w:t xml:space="preserve">V okamžiku, kdy osoba zapojená do obecního systému odloží movitou věc nebo odpad, </w:t>
        <w:br/>
        <w:t>s výjimkou výrobků s ukončenou životností, na místě obcí k tomuto účelu určeném, stává se obec vlastníkem této movité věci nebo odpadu</w:t>
      </w:r>
      <w:r>
        <w:rPr>
          <w:rStyle w:val="Ukotvenpoznmkypodarou"/>
          <w:rFonts w:cs="Arial" w:ascii="Arial" w:hAnsi="Arial"/>
          <w:sz w:val="22"/>
          <w:szCs w:val="22"/>
        </w:rPr>
        <w:footnoteReference w:id="3"/>
      </w:r>
      <w:r>
        <w:rPr>
          <w:rFonts w:cs="Arial" w:ascii="Arial" w:hAnsi="Arial"/>
          <w:sz w:val="22"/>
          <w:szCs w:val="22"/>
        </w:rPr>
        <w:t xml:space="preserve">. </w:t>
      </w:r>
    </w:p>
    <w:p>
      <w:pPr>
        <w:pStyle w:val="Normal"/>
        <w:tabs>
          <w:tab w:val="clear" w:pos="708"/>
          <w:tab w:val="left" w:pos="-142" w:leader="none"/>
        </w:tabs>
        <w:jc w:val="both"/>
        <w:rPr>
          <w:rFonts w:ascii="Arial" w:hAnsi="Arial" w:cs="Arial"/>
          <w:sz w:val="22"/>
          <w:szCs w:val="22"/>
        </w:rPr>
      </w:pPr>
      <w:r>
        <w:rPr>
          <w:rFonts w:cs="Arial" w:ascii="Arial" w:hAnsi="Arial"/>
          <w:sz w:val="22"/>
          <w:szCs w:val="22"/>
        </w:rPr>
      </w:r>
    </w:p>
    <w:p>
      <w:pPr>
        <w:pStyle w:val="Normal"/>
        <w:numPr>
          <w:ilvl w:val="0"/>
          <w:numId w:val="8"/>
        </w:numPr>
        <w:tabs>
          <w:tab w:val="clear" w:pos="708"/>
          <w:tab w:val="left" w:pos="-142" w:leader="none"/>
        </w:tabs>
        <w:ind w:left="0" w:hanging="426"/>
        <w:jc w:val="both"/>
        <w:rPr/>
      </w:pPr>
      <w:r>
        <w:rPr>
          <w:rFonts w:cs="Arial" w:ascii="Arial" w:hAnsi="Arial"/>
          <w:sz w:val="22"/>
          <w:szCs w:val="22"/>
        </w:rPr>
        <w:t xml:space="preserve">  </w:t>
      </w:r>
      <w:r>
        <w:rPr>
          <w:rFonts w:cs="Arial" w:ascii="Arial" w:hAnsi="Arial"/>
          <w:sz w:val="22"/>
          <w:szCs w:val="22"/>
        </w:rPr>
        <w:t>Stanoviště sběrných nádob je místo, kde jsou sběrné nádoby trvale nebo přechodně umístěny za účelem dalšího nakládání s komunálním odpadem. Stanoviště sběrných nádob jsou individuální nebo společná pro více uživatelů.</w:t>
      </w:r>
    </w:p>
    <w:p>
      <w:pPr>
        <w:pStyle w:val="Normal"/>
        <w:tabs>
          <w:tab w:val="clear" w:pos="708"/>
          <w:tab w:val="left" w:pos="-142" w:leader="none"/>
        </w:tabs>
        <w:jc w:val="both"/>
        <w:rPr>
          <w:rFonts w:ascii="Arial" w:hAnsi="Arial" w:cs="Arial"/>
          <w:sz w:val="22"/>
          <w:szCs w:val="22"/>
        </w:rPr>
      </w:pPr>
      <w:r>
        <w:rPr>
          <w:rFonts w:cs="Arial" w:ascii="Arial" w:hAnsi="Arial"/>
          <w:sz w:val="22"/>
          <w:szCs w:val="22"/>
        </w:rPr>
      </w:r>
    </w:p>
    <w:p>
      <w:pPr>
        <w:pStyle w:val="Normal"/>
        <w:jc w:val="center"/>
        <w:rPr>
          <w:rFonts w:ascii="Arial" w:hAnsi="Arial" w:cs="Arial"/>
          <w:b/>
          <w:b/>
          <w:sz w:val="22"/>
          <w:szCs w:val="22"/>
        </w:rPr>
      </w:pPr>
      <w:r>
        <w:rPr>
          <w:rFonts w:cs="Arial" w:ascii="Arial" w:hAnsi="Arial"/>
          <w:b/>
          <w:sz w:val="22"/>
          <w:szCs w:val="22"/>
        </w:rPr>
      </w:r>
    </w:p>
    <w:p>
      <w:pPr>
        <w:pStyle w:val="Normal"/>
        <w:jc w:val="center"/>
        <w:rPr>
          <w:rFonts w:ascii="Arial" w:hAnsi="Arial" w:cs="Arial"/>
          <w:b/>
          <w:b/>
          <w:sz w:val="22"/>
          <w:szCs w:val="22"/>
        </w:rPr>
      </w:pPr>
      <w:r>
        <w:rPr>
          <w:rFonts w:cs="Arial" w:ascii="Arial" w:hAnsi="Arial"/>
          <w:b/>
          <w:sz w:val="22"/>
          <w:szCs w:val="22"/>
        </w:rPr>
        <w:t>Čl. 2</w:t>
      </w:r>
    </w:p>
    <w:p>
      <w:pPr>
        <w:pStyle w:val="Normal"/>
        <w:jc w:val="center"/>
        <w:rPr>
          <w:rFonts w:ascii="Arial" w:hAnsi="Arial" w:cs="Arial"/>
          <w:sz w:val="22"/>
          <w:szCs w:val="22"/>
        </w:rPr>
      </w:pPr>
      <w:r>
        <w:rPr>
          <w:rFonts w:cs="Arial" w:ascii="Arial" w:hAnsi="Arial"/>
          <w:b/>
          <w:sz w:val="22"/>
          <w:szCs w:val="22"/>
        </w:rPr>
        <w:t xml:space="preserve">Oddělené soustřeďování komunálního odpadu </w:t>
      </w:r>
    </w:p>
    <w:p>
      <w:pPr>
        <w:pStyle w:val="Normal"/>
        <w:jc w:val="center"/>
        <w:rPr>
          <w:rFonts w:ascii="Arial" w:hAnsi="Arial" w:cs="Arial"/>
          <w:sz w:val="22"/>
          <w:szCs w:val="22"/>
        </w:rPr>
      </w:pPr>
      <w:r>
        <w:rPr>
          <w:rFonts w:cs="Arial" w:ascii="Arial" w:hAnsi="Arial"/>
          <w:sz w:val="22"/>
          <w:szCs w:val="22"/>
        </w:rPr>
      </w:r>
    </w:p>
    <w:p>
      <w:pPr>
        <w:pStyle w:val="Normal"/>
        <w:numPr>
          <w:ilvl w:val="0"/>
          <w:numId w:val="6"/>
        </w:numPr>
        <w:jc w:val="both"/>
        <w:rPr>
          <w:rFonts w:ascii="Arial" w:hAnsi="Arial" w:cs="Arial"/>
          <w:sz w:val="22"/>
          <w:szCs w:val="22"/>
        </w:rPr>
      </w:pPr>
      <w:r>
        <w:rPr>
          <w:rFonts w:cs="Arial" w:ascii="Arial" w:hAnsi="Arial"/>
          <w:sz w:val="22"/>
          <w:szCs w:val="22"/>
        </w:rPr>
        <w:t>Osoby předávající komunální odpad na místa určená obcí jsou povinny odděleně soustřeďovat následující složky:</w:t>
      </w:r>
    </w:p>
    <w:p>
      <w:pPr>
        <w:pStyle w:val="Normal"/>
        <w:rPr>
          <w:rFonts w:ascii="Arial" w:hAnsi="Arial" w:cs="Arial"/>
          <w:i/>
          <w:i/>
          <w:iCs/>
          <w:sz w:val="22"/>
          <w:szCs w:val="22"/>
        </w:rPr>
      </w:pPr>
      <w:r>
        <w:rPr>
          <w:rFonts w:cs="Arial" w:ascii="Arial" w:hAnsi="Arial"/>
          <w:i/>
          <w:iCs/>
          <w:sz w:val="22"/>
          <w:szCs w:val="22"/>
        </w:rPr>
      </w:r>
    </w:p>
    <w:p>
      <w:pPr>
        <w:pStyle w:val="ListParagraph"/>
        <w:numPr>
          <w:ilvl w:val="0"/>
          <w:numId w:val="4"/>
        </w:numPr>
        <w:spacing w:lineRule="auto" w:line="240" w:before="0" w:after="0"/>
        <w:contextualSpacing/>
        <w:rPr>
          <w:rFonts w:ascii="Arial" w:hAnsi="Arial" w:cs="Arial"/>
          <w:bCs/>
          <w:i/>
          <w:i/>
          <w:color w:val="000000"/>
        </w:rPr>
      </w:pPr>
      <w:r>
        <w:rPr>
          <w:rFonts w:cs="Arial" w:ascii="Arial" w:hAnsi="Arial"/>
          <w:bCs/>
          <w:i/>
          <w:color w:val="000000"/>
        </w:rPr>
        <w:t>Biologické odpady</w:t>
      </w:r>
      <w:r>
        <w:rPr>
          <w:rFonts w:cs="Arial" w:ascii="Arial" w:hAnsi="Arial"/>
          <w:bCs/>
          <w:i/>
        </w:rPr>
        <w:t>,</w:t>
      </w:r>
    </w:p>
    <w:p>
      <w:pPr>
        <w:pStyle w:val="ListParagraph"/>
        <w:numPr>
          <w:ilvl w:val="0"/>
          <w:numId w:val="4"/>
        </w:numPr>
        <w:tabs>
          <w:tab w:val="clear" w:pos="708"/>
          <w:tab w:val="left" w:pos="567" w:leader="none"/>
        </w:tabs>
        <w:spacing w:lineRule="auto" w:line="240" w:before="0" w:after="0"/>
        <w:contextualSpacing/>
        <w:rPr>
          <w:rFonts w:ascii="Arial" w:hAnsi="Arial" w:cs="Arial"/>
          <w:bCs/>
          <w:i/>
          <w:i/>
          <w:color w:val="000000"/>
        </w:rPr>
      </w:pPr>
      <w:r>
        <w:rPr>
          <w:rFonts w:cs="Arial" w:ascii="Arial" w:hAnsi="Arial"/>
          <w:bCs/>
          <w:i/>
          <w:color w:val="000000"/>
        </w:rPr>
        <w:t>Papír,</w:t>
      </w:r>
    </w:p>
    <w:p>
      <w:pPr>
        <w:pStyle w:val="ListParagraph"/>
        <w:numPr>
          <w:ilvl w:val="0"/>
          <w:numId w:val="4"/>
        </w:numPr>
        <w:tabs>
          <w:tab w:val="clear" w:pos="708"/>
          <w:tab w:val="left" w:pos="567" w:leader="none"/>
        </w:tabs>
        <w:spacing w:lineRule="auto" w:line="240" w:before="0" w:after="0"/>
        <w:contextualSpacing/>
        <w:rPr>
          <w:rFonts w:ascii="Arial" w:hAnsi="Arial" w:cs="Arial"/>
          <w:bCs/>
          <w:i/>
          <w:i/>
          <w:color w:val="000000"/>
        </w:rPr>
      </w:pPr>
      <w:r>
        <w:rPr>
          <w:rFonts w:cs="Arial" w:ascii="Arial" w:hAnsi="Arial"/>
          <w:bCs/>
          <w:i/>
          <w:color w:val="000000"/>
        </w:rPr>
        <w:t>Plasty včetně PET lahví,</w:t>
      </w:r>
    </w:p>
    <w:p>
      <w:pPr>
        <w:pStyle w:val="ListParagraph"/>
        <w:numPr>
          <w:ilvl w:val="0"/>
          <w:numId w:val="4"/>
        </w:numPr>
        <w:spacing w:lineRule="auto" w:line="240" w:before="0" w:after="0"/>
        <w:contextualSpacing/>
        <w:rPr>
          <w:rFonts w:ascii="Arial" w:hAnsi="Arial" w:cs="Arial"/>
          <w:bCs/>
          <w:i/>
          <w:i/>
          <w:color w:val="000000"/>
        </w:rPr>
      </w:pPr>
      <w:r>
        <w:rPr>
          <w:rFonts w:cs="Arial" w:ascii="Arial" w:hAnsi="Arial"/>
          <w:bCs/>
          <w:i/>
          <w:color w:val="000000"/>
        </w:rPr>
        <w:t>Sklo,</w:t>
      </w:r>
    </w:p>
    <w:p>
      <w:pPr>
        <w:pStyle w:val="ListParagraph"/>
        <w:numPr>
          <w:ilvl w:val="0"/>
          <w:numId w:val="4"/>
        </w:numPr>
        <w:spacing w:lineRule="auto" w:line="240" w:before="0" w:after="0"/>
        <w:contextualSpacing/>
        <w:rPr>
          <w:rFonts w:ascii="Arial" w:hAnsi="Arial" w:cs="Arial"/>
          <w:bCs/>
          <w:i/>
          <w:i/>
          <w:color w:val="000000"/>
        </w:rPr>
      </w:pPr>
      <w:r>
        <w:rPr>
          <w:rFonts w:cs="Arial" w:ascii="Arial" w:hAnsi="Arial"/>
          <w:bCs/>
          <w:i/>
          <w:color w:val="000000"/>
        </w:rPr>
        <w:t>Kovy,</w:t>
      </w:r>
    </w:p>
    <w:p>
      <w:pPr>
        <w:pStyle w:val="Normal"/>
        <w:numPr>
          <w:ilvl w:val="0"/>
          <w:numId w:val="4"/>
        </w:numPr>
        <w:rPr>
          <w:rFonts w:ascii="Arial" w:hAnsi="Arial" w:cs="Arial"/>
          <w:i/>
          <w:i/>
          <w:iCs/>
          <w:sz w:val="22"/>
          <w:szCs w:val="22"/>
        </w:rPr>
      </w:pPr>
      <w:r>
        <w:rPr>
          <w:rFonts w:cs="Arial" w:ascii="Arial" w:hAnsi="Arial"/>
          <w:bCs/>
          <w:i/>
          <w:color w:val="000000"/>
          <w:sz w:val="22"/>
          <w:szCs w:val="22"/>
        </w:rPr>
        <w:t>Nebezpečné odpady,</w:t>
      </w:r>
    </w:p>
    <w:p>
      <w:pPr>
        <w:pStyle w:val="Normal"/>
        <w:numPr>
          <w:ilvl w:val="0"/>
          <w:numId w:val="4"/>
        </w:numPr>
        <w:rPr>
          <w:rFonts w:ascii="Arial" w:hAnsi="Arial" w:cs="Arial"/>
          <w:bCs/>
          <w:i/>
          <w:i/>
          <w:color w:val="000000"/>
          <w:sz w:val="22"/>
          <w:szCs w:val="22"/>
        </w:rPr>
      </w:pPr>
      <w:r>
        <w:rPr>
          <w:rFonts w:cs="Arial" w:ascii="Arial" w:hAnsi="Arial"/>
          <w:bCs/>
          <w:i/>
          <w:color w:val="000000"/>
          <w:sz w:val="22"/>
          <w:szCs w:val="22"/>
        </w:rPr>
        <w:t>Objemný odpad,</w:t>
      </w:r>
    </w:p>
    <w:p>
      <w:pPr>
        <w:pStyle w:val="Normal"/>
        <w:numPr>
          <w:ilvl w:val="0"/>
          <w:numId w:val="4"/>
        </w:numPr>
        <w:rPr/>
      </w:pPr>
      <w:r>
        <w:rPr>
          <w:rFonts w:cs="Arial" w:ascii="Arial" w:hAnsi="Arial"/>
          <w:i/>
          <w:iCs/>
          <w:sz w:val="22"/>
          <w:szCs w:val="22"/>
        </w:rPr>
        <w:t>Jedlé oleje a tuky,</w:t>
      </w:r>
    </w:p>
    <w:p>
      <w:pPr>
        <w:pStyle w:val="Normal"/>
        <w:numPr>
          <w:ilvl w:val="0"/>
          <w:numId w:val="4"/>
        </w:numPr>
        <w:rPr/>
      </w:pPr>
      <w:r>
        <w:rPr>
          <w:rFonts w:cs="Arial" w:ascii="Arial" w:hAnsi="Arial"/>
          <w:i/>
          <w:iCs/>
          <w:sz w:val="22"/>
          <w:szCs w:val="22"/>
        </w:rPr>
        <w:t>Textil,</w:t>
      </w:r>
    </w:p>
    <w:p>
      <w:pPr>
        <w:pStyle w:val="Normal"/>
        <w:numPr>
          <w:ilvl w:val="0"/>
          <w:numId w:val="4"/>
        </w:numPr>
        <w:rPr/>
      </w:pPr>
      <w:r>
        <w:rPr>
          <w:rFonts w:cs="Arial" w:ascii="Arial" w:hAnsi="Arial"/>
          <w:i/>
          <w:iCs/>
          <w:sz w:val="22"/>
          <w:szCs w:val="22"/>
        </w:rPr>
        <w:t>Nápojové kartony</w:t>
      </w:r>
    </w:p>
    <w:p>
      <w:pPr>
        <w:pStyle w:val="Normal"/>
        <w:numPr>
          <w:ilvl w:val="0"/>
          <w:numId w:val="0"/>
        </w:numPr>
        <w:ind w:left="786" w:hanging="0"/>
        <w:rPr>
          <w:rFonts w:ascii="Arial" w:hAnsi="Arial" w:cs="Arial"/>
          <w:i/>
          <w:i/>
          <w:color w:val="00B0F0"/>
          <w:sz w:val="22"/>
          <w:szCs w:val="22"/>
        </w:rPr>
      </w:pPr>
      <w:r>
        <w:rPr>
          <w:rFonts w:cs="Arial" w:ascii="Arial" w:hAnsi="Arial"/>
          <w:i/>
          <w:color w:val="00B0F0"/>
          <w:sz w:val="22"/>
          <w:szCs w:val="22"/>
        </w:rPr>
      </w:r>
    </w:p>
    <w:p>
      <w:pPr>
        <w:pStyle w:val="Normal"/>
        <w:ind w:left="426" w:hanging="0"/>
        <w:jc w:val="both"/>
        <w:rPr>
          <w:rFonts w:ascii="Arial" w:hAnsi="Arial" w:cs="Arial"/>
          <w:i/>
          <w:i/>
          <w:iCs/>
          <w:sz w:val="22"/>
          <w:szCs w:val="22"/>
        </w:rPr>
      </w:pPr>
      <w:r>
        <w:rPr>
          <w:rFonts w:cs="Arial" w:ascii="Arial" w:hAnsi="Arial"/>
          <w:i/>
          <w:iCs/>
          <w:sz w:val="22"/>
          <w:szCs w:val="22"/>
        </w:rPr>
      </w:r>
    </w:p>
    <w:p>
      <w:pPr>
        <w:pStyle w:val="Normal"/>
        <w:numPr>
          <w:ilvl w:val="0"/>
          <w:numId w:val="4"/>
        </w:numPr>
        <w:rPr>
          <w:rFonts w:ascii="Arial" w:hAnsi="Arial" w:cs="Arial"/>
          <w:i/>
          <w:i/>
          <w:iCs/>
          <w:sz w:val="22"/>
          <w:szCs w:val="22"/>
        </w:rPr>
      </w:pPr>
      <w:r>
        <w:rPr>
          <w:rFonts w:cs="Arial" w:ascii="Arial" w:hAnsi="Arial"/>
          <w:i/>
          <w:iCs/>
          <w:sz w:val="22"/>
          <w:szCs w:val="22"/>
        </w:rPr>
        <w:t>Směsný komunální odpad</w:t>
      </w:r>
    </w:p>
    <w:p>
      <w:pPr>
        <w:pStyle w:val="Normal"/>
        <w:rPr/>
      </w:pPr>
      <w:r>
        <w:rPr>
          <w:rFonts w:cs="Arial" w:ascii="Arial" w:hAnsi="Arial"/>
          <w:i/>
          <w:color w:val="00B0F0"/>
          <w:sz w:val="22"/>
          <w:szCs w:val="22"/>
        </w:rPr>
        <w:t xml:space="preserve"> </w:t>
      </w:r>
    </w:p>
    <w:p>
      <w:pPr>
        <w:pStyle w:val="Normal"/>
        <w:rPr>
          <w:rFonts w:ascii="Arial" w:hAnsi="Arial" w:cs="Arial"/>
          <w:i/>
          <w:i/>
          <w:sz w:val="22"/>
          <w:szCs w:val="22"/>
        </w:rPr>
      </w:pPr>
      <w:r>
        <w:rPr>
          <w:rFonts w:cs="Arial" w:ascii="Arial" w:hAnsi="Arial"/>
          <w:i/>
          <w:sz w:val="22"/>
          <w:szCs w:val="22"/>
        </w:rPr>
      </w:r>
    </w:p>
    <w:p>
      <w:pPr>
        <w:pStyle w:val="Odsazentlatextu"/>
        <w:numPr>
          <w:ilvl w:val="0"/>
          <w:numId w:val="6"/>
        </w:numPr>
        <w:rPr/>
      </w:pPr>
      <w:r>
        <w:rPr>
          <w:rFonts w:cs="Arial" w:ascii="Arial" w:hAnsi="Arial"/>
          <w:sz w:val="22"/>
          <w:szCs w:val="22"/>
        </w:rPr>
        <w:t>Směsným komunálním odpadem se rozumí zbylý komunální odpad po stanoveném vytřídění podle odstavce 1 písm. a), b), c), d), e), f), g), h), i) a j).</w:t>
      </w:r>
    </w:p>
    <w:p>
      <w:pPr>
        <w:pStyle w:val="Odsazentlatextu"/>
        <w:ind w:left="360" w:hanging="0"/>
        <w:rPr>
          <w:rFonts w:ascii="Arial" w:hAnsi="Arial" w:cs="Arial"/>
          <w:sz w:val="22"/>
          <w:szCs w:val="22"/>
        </w:rPr>
      </w:pPr>
      <w:r>
        <w:rPr>
          <w:rFonts w:cs="Arial" w:ascii="Arial" w:hAnsi="Arial"/>
          <w:sz w:val="22"/>
          <w:szCs w:val="22"/>
        </w:rPr>
      </w:r>
    </w:p>
    <w:p>
      <w:pPr>
        <w:pStyle w:val="Odsazentlatextu"/>
        <w:numPr>
          <w:ilvl w:val="0"/>
          <w:numId w:val="6"/>
        </w:numPr>
        <w:rPr/>
      </w:pPr>
      <w:r>
        <w:rPr>
          <w:rFonts w:cs="Arial" w:ascii="Arial" w:hAnsi="Arial"/>
          <w:sz w:val="22"/>
          <w:szCs w:val="22"/>
        </w:rPr>
        <w:t xml:space="preserve">Objemný odpad je takový odpad, který vzhledem ke svým rozměrům nemůže být umístěn do sběrných nádob </w:t>
      </w:r>
      <w:r>
        <w:rPr>
          <w:rFonts w:cs="Arial" w:ascii="Arial" w:hAnsi="Arial"/>
          <w:color w:val="auto"/>
          <w:sz w:val="22"/>
          <w:szCs w:val="22"/>
        </w:rPr>
        <w:t>(</w:t>
      </w:r>
      <w:r>
        <w:rPr>
          <w:rFonts w:cs="Arial" w:ascii="Arial" w:hAnsi="Arial"/>
          <w:i/>
          <w:iCs/>
          <w:color w:val="auto"/>
          <w:sz w:val="22"/>
          <w:szCs w:val="22"/>
        </w:rPr>
        <w:t>např. koberce, matrace, nábytek, apod</w:t>
      </w:r>
      <w:r>
        <w:rPr>
          <w:rFonts w:cs="Arial" w:ascii="Arial" w:hAnsi="Arial"/>
          <w:color w:val="auto"/>
          <w:sz w:val="22"/>
          <w:szCs w:val="22"/>
        </w:rPr>
        <w:t xml:space="preserve"> )</w:t>
      </w:r>
      <w:r>
        <w:rPr>
          <w:rFonts w:cs="Arial" w:ascii="Arial" w:hAnsi="Arial"/>
          <w:sz w:val="22"/>
          <w:szCs w:val="22"/>
        </w:rPr>
        <w:t>.</w:t>
      </w:r>
    </w:p>
    <w:p>
      <w:pPr>
        <w:pStyle w:val="Odsazentlatextu"/>
        <w:ind w:left="360" w:hanging="0"/>
        <w:rPr>
          <w:rFonts w:ascii="Arial" w:hAnsi="Arial" w:cs="Arial"/>
          <w:sz w:val="22"/>
          <w:szCs w:val="22"/>
        </w:rPr>
      </w:pPr>
      <w:r>
        <w:rPr>
          <w:rFonts w:cs="Arial" w:ascii="Arial" w:hAnsi="Arial"/>
          <w:sz w:val="22"/>
          <w:szCs w:val="22"/>
        </w:rPr>
      </w:r>
    </w:p>
    <w:p>
      <w:pPr>
        <w:pStyle w:val="Odsazentlatextu"/>
        <w:ind w:left="720" w:hanging="0"/>
        <w:jc w:val="center"/>
        <w:rPr>
          <w:rFonts w:ascii="Arial" w:hAnsi="Arial" w:cs="Arial"/>
          <w:sz w:val="22"/>
          <w:szCs w:val="22"/>
        </w:rPr>
      </w:pPr>
      <w:r>
        <w:rPr>
          <w:rFonts w:cs="Arial" w:ascii="Arial" w:hAnsi="Arial"/>
          <w:sz w:val="22"/>
          <w:szCs w:val="22"/>
        </w:rPr>
      </w:r>
    </w:p>
    <w:p>
      <w:pPr>
        <w:pStyle w:val="Normal"/>
        <w:jc w:val="center"/>
        <w:rPr>
          <w:rFonts w:ascii="Arial" w:hAnsi="Arial" w:cs="Arial"/>
          <w:b/>
          <w:b/>
          <w:sz w:val="22"/>
          <w:szCs w:val="22"/>
        </w:rPr>
      </w:pPr>
      <w:r>
        <w:rPr>
          <w:rFonts w:cs="Arial" w:ascii="Arial" w:hAnsi="Arial"/>
          <w:b/>
          <w:sz w:val="22"/>
          <w:szCs w:val="22"/>
        </w:rPr>
        <w:t>Čl. 3</w:t>
      </w:r>
    </w:p>
    <w:p>
      <w:pPr>
        <w:pStyle w:val="Normal"/>
        <w:jc w:val="center"/>
        <w:rPr>
          <w:rFonts w:ascii="Arial" w:hAnsi="Arial" w:cs="Arial"/>
          <w:b/>
          <w:b/>
          <w:sz w:val="22"/>
          <w:szCs w:val="22"/>
        </w:rPr>
      </w:pPr>
      <w:r>
        <w:rPr>
          <w:rFonts w:cs="Arial" w:ascii="Arial" w:hAnsi="Arial"/>
          <w:b/>
          <w:sz w:val="22"/>
          <w:szCs w:val="22"/>
        </w:rPr>
        <w:t>Určení míst pro oddělené soustřeďování určených složek komunálního odpadu</w:t>
      </w:r>
    </w:p>
    <w:p>
      <w:pPr>
        <w:pStyle w:val="Normal"/>
        <w:tabs>
          <w:tab w:val="clear" w:pos="708"/>
          <w:tab w:val="left" w:pos="927" w:leader="none"/>
        </w:tabs>
        <w:jc w:val="both"/>
        <w:rPr>
          <w:rFonts w:ascii="Arial" w:hAnsi="Arial" w:cs="Arial"/>
          <w:b/>
          <w:b/>
          <w:sz w:val="22"/>
          <w:szCs w:val="22"/>
          <w:u w:val="single"/>
        </w:rPr>
      </w:pPr>
      <w:r>
        <w:rPr>
          <w:rFonts w:cs="Arial" w:ascii="Arial" w:hAnsi="Arial"/>
          <w:b/>
          <w:sz w:val="22"/>
          <w:szCs w:val="22"/>
          <w:u w:val="single"/>
        </w:rPr>
      </w:r>
    </w:p>
    <w:p>
      <w:pPr>
        <w:pStyle w:val="Normal"/>
        <w:numPr>
          <w:ilvl w:val="0"/>
          <w:numId w:val="2"/>
        </w:numPr>
        <w:tabs>
          <w:tab w:val="clear" w:pos="708"/>
          <w:tab w:val="left" w:pos="540" w:leader="none"/>
          <w:tab w:val="left" w:pos="927" w:leader="none"/>
        </w:tabs>
        <w:jc w:val="both"/>
        <w:rPr/>
      </w:pPr>
      <w:r>
        <w:rPr>
          <w:rFonts w:cs="Arial" w:ascii="Arial" w:hAnsi="Arial"/>
          <w:sz w:val="22"/>
          <w:szCs w:val="22"/>
        </w:rPr>
        <w:t xml:space="preserve">Papír, plasty, sklo, kovy, nápojové kartony, biologické odpady, textil, jedlé oleje a tuky se soustřeďují do </w:t>
      </w:r>
      <w:r>
        <w:rPr>
          <w:rFonts w:cs="Arial" w:ascii="Arial" w:hAnsi="Arial"/>
          <w:bCs/>
          <w:sz w:val="22"/>
          <w:szCs w:val="22"/>
        </w:rPr>
        <w:t>zvláštních sběrných nádob</w:t>
      </w:r>
      <w:r>
        <w:rPr>
          <w:rFonts w:cs="Arial" w:ascii="Arial" w:hAnsi="Arial"/>
          <w:sz w:val="22"/>
          <w:szCs w:val="22"/>
        </w:rPr>
        <w:t xml:space="preserve">, kterými jsou </w:t>
      </w:r>
      <w:r>
        <w:rPr>
          <w:rFonts w:cs="Arial" w:ascii="Arial" w:hAnsi="Arial"/>
          <w:i w:val="false"/>
          <w:iCs w:val="false"/>
          <w:color w:val="auto"/>
          <w:sz w:val="22"/>
          <w:szCs w:val="22"/>
        </w:rPr>
        <w:t>sběrné nádoby různých objemů nebo velkoobjemové kontejnery.</w:t>
      </w:r>
    </w:p>
    <w:p>
      <w:pPr>
        <w:pStyle w:val="Normal"/>
        <w:rPr>
          <w:rFonts w:ascii="Arial" w:hAnsi="Arial" w:cs="Arial"/>
          <w:sz w:val="22"/>
          <w:szCs w:val="22"/>
        </w:rPr>
      </w:pPr>
      <w:r>
        <w:rPr>
          <w:rFonts w:cs="Arial" w:ascii="Arial" w:hAnsi="Arial"/>
          <w:sz w:val="22"/>
          <w:szCs w:val="22"/>
        </w:rPr>
      </w:r>
    </w:p>
    <w:p>
      <w:pPr>
        <w:pStyle w:val="NormlnIMP"/>
        <w:numPr>
          <w:ilvl w:val="0"/>
          <w:numId w:val="2"/>
        </w:numPr>
        <w:tabs>
          <w:tab w:val="clear" w:pos="708"/>
          <w:tab w:val="left" w:pos="540" w:leader="none"/>
          <w:tab w:val="left" w:pos="927" w:leader="none"/>
        </w:tabs>
        <w:suppressAutoHyphens w:val="false"/>
        <w:overflowPunct w:val="false"/>
        <w:spacing w:lineRule="auto" w:line="240"/>
        <w:ind w:left="0" w:hanging="0"/>
        <w:textAlignment w:val="auto"/>
        <w:rPr/>
      </w:pPr>
      <w:r>
        <w:rPr>
          <w:rFonts w:cs="Arial" w:ascii="Arial" w:hAnsi="Arial"/>
          <w:sz w:val="22"/>
          <w:szCs w:val="22"/>
        </w:rPr>
        <w:t xml:space="preserve">Zvláštní sběrné nádoby jsou umístěny na těchto stanovištích: </w:t>
      </w:r>
    </w:p>
    <w:p>
      <w:pPr>
        <w:pStyle w:val="Normal"/>
        <w:tabs>
          <w:tab w:val="clear" w:pos="708"/>
          <w:tab w:val="left" w:pos="540" w:leader="none"/>
          <w:tab w:val="left" w:pos="927" w:leader="none"/>
        </w:tabs>
        <w:ind w:left="360" w:hanging="0"/>
        <w:jc w:val="both"/>
        <w:rPr/>
      </w:pPr>
      <w:r>
        <w:rPr>
          <w:rFonts w:cs="Arial" w:ascii="Arial" w:hAnsi="Arial"/>
          <w:i w:val="false"/>
          <w:iCs w:val="false"/>
          <w:color w:val="auto"/>
          <w:sz w:val="22"/>
          <w:szCs w:val="22"/>
          <w:u w:val="none"/>
        </w:rPr>
        <w:t>Sběrné nádoby na papír – parc. č. 651 za obecním úřadem, u sokolovny, u obchodu, Na Trávníkách</w:t>
      </w:r>
    </w:p>
    <w:p>
      <w:pPr>
        <w:pStyle w:val="Normal"/>
        <w:tabs>
          <w:tab w:val="clear" w:pos="708"/>
          <w:tab w:val="left" w:pos="540" w:leader="none"/>
          <w:tab w:val="left" w:pos="927" w:leader="none"/>
        </w:tabs>
        <w:ind w:left="360" w:hanging="0"/>
        <w:jc w:val="both"/>
        <w:rPr/>
      </w:pPr>
      <w:r>
        <w:rPr>
          <w:rFonts w:cs="Arial" w:ascii="Arial" w:hAnsi="Arial"/>
          <w:i w:val="false"/>
          <w:iCs w:val="false"/>
          <w:color w:val="auto"/>
          <w:sz w:val="22"/>
          <w:szCs w:val="22"/>
          <w:u w:val="none"/>
        </w:rPr>
        <w:t>Sběrné nádoby na plast, nápojové kartony a kovy - parc. č. 651 za obecním úřadem, u sokolovny, u obchodu, Na Trávníkách</w:t>
      </w:r>
    </w:p>
    <w:p>
      <w:pPr>
        <w:pStyle w:val="Normal"/>
        <w:tabs>
          <w:tab w:val="clear" w:pos="708"/>
          <w:tab w:val="left" w:pos="540" w:leader="none"/>
          <w:tab w:val="left" w:pos="927" w:leader="none"/>
        </w:tabs>
        <w:ind w:left="360" w:hanging="0"/>
        <w:jc w:val="both"/>
        <w:rPr>
          <w:i w:val="false"/>
          <w:i w:val="false"/>
          <w:iCs w:val="false"/>
          <w:color w:val="auto"/>
          <w:u w:val="none"/>
        </w:rPr>
      </w:pPr>
      <w:r>
        <w:rPr>
          <w:rFonts w:cs="Arial" w:ascii="Arial" w:hAnsi="Arial"/>
          <w:i w:val="false"/>
          <w:iCs w:val="false"/>
          <w:color w:val="auto"/>
          <w:sz w:val="22"/>
          <w:szCs w:val="22"/>
          <w:u w:val="none"/>
        </w:rPr>
        <w:t>Sběrné nádoby na sklo – parc. č. 651 za obecním úřadem</w:t>
      </w:r>
    </w:p>
    <w:p>
      <w:pPr>
        <w:pStyle w:val="Normal"/>
        <w:tabs>
          <w:tab w:val="clear" w:pos="708"/>
          <w:tab w:val="left" w:pos="540" w:leader="none"/>
          <w:tab w:val="left" w:pos="927" w:leader="none"/>
        </w:tabs>
        <w:ind w:left="360" w:hanging="0"/>
        <w:jc w:val="both"/>
        <w:rPr>
          <w:i w:val="false"/>
          <w:i w:val="false"/>
          <w:iCs w:val="false"/>
          <w:color w:val="auto"/>
          <w:u w:val="none"/>
        </w:rPr>
      </w:pPr>
      <w:r>
        <w:rPr>
          <w:rFonts w:cs="Arial" w:ascii="Arial" w:hAnsi="Arial"/>
          <w:i w:val="false"/>
          <w:iCs w:val="false"/>
          <w:color w:val="auto"/>
          <w:sz w:val="22"/>
          <w:szCs w:val="22"/>
          <w:u w:val="none"/>
        </w:rPr>
        <w:t>Velkoobjemový kontejner a kontejner o objemu 750 kg na bioodpad – parc. č. 651 za obecním úřadem</w:t>
      </w:r>
    </w:p>
    <w:p>
      <w:pPr>
        <w:pStyle w:val="Normal"/>
        <w:tabs>
          <w:tab w:val="clear" w:pos="708"/>
          <w:tab w:val="left" w:pos="540" w:leader="none"/>
          <w:tab w:val="left" w:pos="927" w:leader="none"/>
        </w:tabs>
        <w:ind w:left="360" w:hanging="0"/>
        <w:jc w:val="both"/>
        <w:rPr>
          <w:i w:val="false"/>
          <w:i w:val="false"/>
          <w:iCs w:val="false"/>
          <w:color w:val="auto"/>
          <w:u w:val="none"/>
        </w:rPr>
      </w:pPr>
      <w:r>
        <w:rPr>
          <w:rFonts w:cs="Arial" w:ascii="Arial" w:hAnsi="Arial"/>
          <w:i w:val="false"/>
          <w:iCs w:val="false"/>
          <w:color w:val="auto"/>
          <w:sz w:val="22"/>
          <w:szCs w:val="22"/>
          <w:u w:val="none"/>
        </w:rPr>
        <w:t>Velkoobjemový kontejner na kovy – parc. č. 651 za obecním úřadem</w:t>
      </w:r>
    </w:p>
    <w:p>
      <w:pPr>
        <w:pStyle w:val="Normal"/>
        <w:tabs>
          <w:tab w:val="clear" w:pos="708"/>
          <w:tab w:val="left" w:pos="540" w:leader="none"/>
          <w:tab w:val="left" w:pos="927" w:leader="none"/>
        </w:tabs>
        <w:ind w:left="360" w:hanging="0"/>
        <w:jc w:val="both"/>
        <w:rPr/>
      </w:pPr>
      <w:r>
        <w:rPr>
          <w:rFonts w:cs="Arial" w:ascii="Arial" w:hAnsi="Arial"/>
          <w:i w:val="false"/>
          <w:iCs w:val="false"/>
          <w:color w:val="auto"/>
          <w:sz w:val="22"/>
          <w:szCs w:val="22"/>
          <w:u w:val="none"/>
        </w:rPr>
        <w:t>Jedlé oleje a tuky – parc. č. 651 za obecním úřadem</w:t>
      </w:r>
    </w:p>
    <w:p>
      <w:pPr>
        <w:pStyle w:val="Normal"/>
        <w:tabs>
          <w:tab w:val="clear" w:pos="708"/>
          <w:tab w:val="left" w:pos="540" w:leader="none"/>
          <w:tab w:val="left" w:pos="927" w:leader="none"/>
        </w:tabs>
        <w:ind w:left="360" w:hanging="0"/>
        <w:jc w:val="both"/>
        <w:rPr/>
      </w:pPr>
      <w:r>
        <w:rPr>
          <w:rFonts w:cs="Arial" w:ascii="Arial" w:hAnsi="Arial"/>
          <w:i w:val="false"/>
          <w:iCs w:val="false"/>
          <w:color w:val="auto"/>
          <w:sz w:val="22"/>
          <w:szCs w:val="22"/>
          <w:u w:val="none"/>
        </w:rPr>
        <w:t>Textil – parc. č. 651 za obecním účadem</w:t>
      </w:r>
    </w:p>
    <w:p>
      <w:pPr>
        <w:pStyle w:val="Normal"/>
        <w:tabs>
          <w:tab w:val="clear" w:pos="708"/>
          <w:tab w:val="left" w:pos="540" w:leader="none"/>
          <w:tab w:val="left" w:pos="927" w:leader="none"/>
        </w:tabs>
        <w:ind w:left="360" w:hanging="0"/>
        <w:jc w:val="both"/>
        <w:rPr>
          <w:rFonts w:ascii="Arial" w:hAnsi="Arial" w:cs="Arial"/>
          <w:sz w:val="22"/>
          <w:szCs w:val="22"/>
        </w:rPr>
      </w:pPr>
      <w:r>
        <w:rPr>
          <w:rFonts w:cs="Arial" w:ascii="Arial" w:hAnsi="Arial"/>
          <w:sz w:val="22"/>
          <w:szCs w:val="22"/>
        </w:rPr>
      </w:r>
    </w:p>
    <w:p>
      <w:pPr>
        <w:pStyle w:val="Normal"/>
        <w:jc w:val="both"/>
        <w:rPr>
          <w:rFonts w:ascii="Arial" w:hAnsi="Arial" w:cs="Arial"/>
          <w:sz w:val="22"/>
          <w:szCs w:val="22"/>
        </w:rPr>
      </w:pPr>
      <w:r>
        <w:rPr>
          <w:rFonts w:cs="Arial" w:ascii="Arial" w:hAnsi="Arial"/>
          <w:sz w:val="22"/>
          <w:szCs w:val="22"/>
        </w:rPr>
      </w:r>
    </w:p>
    <w:p>
      <w:pPr>
        <w:pStyle w:val="NormlnIMP"/>
        <w:numPr>
          <w:ilvl w:val="0"/>
          <w:numId w:val="2"/>
        </w:numPr>
        <w:tabs>
          <w:tab w:val="clear" w:pos="708"/>
          <w:tab w:val="left" w:pos="540" w:leader="none"/>
          <w:tab w:val="left" w:pos="927" w:leader="none"/>
        </w:tabs>
        <w:suppressAutoHyphens w:val="false"/>
        <w:overflowPunct w:val="false"/>
        <w:spacing w:lineRule="auto" w:line="240"/>
        <w:ind w:left="0" w:hanging="0"/>
        <w:textAlignment w:val="auto"/>
        <w:rPr>
          <w:rFonts w:ascii="Arial" w:hAnsi="Arial" w:cs="Arial"/>
          <w:sz w:val="22"/>
          <w:szCs w:val="22"/>
        </w:rPr>
      </w:pPr>
      <w:r>
        <w:rPr>
          <w:rFonts w:cs="Arial" w:ascii="Arial" w:hAnsi="Arial"/>
          <w:sz w:val="22"/>
          <w:szCs w:val="22"/>
        </w:rPr>
        <w:t>Zvláštní sběrné nádoby jsou barevně odlišeny a označeny příslušnými nápisy:</w:t>
      </w:r>
    </w:p>
    <w:p>
      <w:pPr>
        <w:pStyle w:val="Normal"/>
        <w:jc w:val="both"/>
        <w:rPr>
          <w:rFonts w:ascii="Arial" w:hAnsi="Arial" w:cs="Arial"/>
          <w:sz w:val="22"/>
          <w:szCs w:val="22"/>
        </w:rPr>
      </w:pPr>
      <w:r>
        <w:rPr>
          <w:rFonts w:cs="Arial" w:ascii="Arial" w:hAnsi="Arial"/>
          <w:sz w:val="22"/>
          <w:szCs w:val="22"/>
        </w:rPr>
      </w:r>
    </w:p>
    <w:p>
      <w:pPr>
        <w:pStyle w:val="ListParagraph"/>
        <w:numPr>
          <w:ilvl w:val="0"/>
          <w:numId w:val="7"/>
        </w:numPr>
        <w:spacing w:lineRule="auto" w:line="240" w:before="0" w:after="0"/>
        <w:contextualSpacing/>
        <w:rPr/>
      </w:pPr>
      <w:r>
        <w:rPr>
          <w:rFonts w:cs="Arial" w:ascii="Arial" w:hAnsi="Arial"/>
          <w:bCs/>
          <w:i/>
          <w:color w:val="000000"/>
        </w:rPr>
        <w:t>Biologické odpady – velkoobjemový kontejner s nápisem BIOODPAD</w:t>
      </w:r>
    </w:p>
    <w:p>
      <w:pPr>
        <w:pStyle w:val="ListParagraph"/>
        <w:numPr>
          <w:ilvl w:val="0"/>
          <w:numId w:val="7"/>
        </w:numPr>
        <w:spacing w:lineRule="auto" w:line="240" w:before="0" w:after="0"/>
        <w:contextualSpacing/>
        <w:rPr/>
      </w:pPr>
      <w:r>
        <w:rPr>
          <w:rFonts w:cs="Arial" w:ascii="Arial" w:hAnsi="Arial"/>
          <w:bCs/>
          <w:i/>
          <w:color w:val="000000"/>
        </w:rPr>
        <w:t>Papír - barva modrá</w:t>
      </w:r>
    </w:p>
    <w:p>
      <w:pPr>
        <w:pStyle w:val="ListParagraph"/>
        <w:numPr>
          <w:ilvl w:val="0"/>
          <w:numId w:val="7"/>
        </w:numPr>
        <w:spacing w:lineRule="auto" w:line="240" w:before="0" w:after="0"/>
        <w:contextualSpacing/>
        <w:rPr/>
      </w:pPr>
      <w:r>
        <w:rPr>
          <w:rFonts w:cs="Arial" w:ascii="Arial" w:hAnsi="Arial"/>
          <w:bCs/>
          <w:i/>
          <w:color w:val="000000"/>
        </w:rPr>
        <w:t xml:space="preserve">Plasty, PET lahve, nápojový karton, kovy - barva </w:t>
      </w:r>
      <w:r>
        <w:rPr>
          <w:rFonts w:cs="Arial" w:ascii="Arial" w:hAnsi="Arial"/>
          <w:bCs/>
          <w:i/>
          <w:iCs/>
          <w:color w:val="auto"/>
        </w:rPr>
        <w:t>žlutá</w:t>
      </w:r>
    </w:p>
    <w:p>
      <w:pPr>
        <w:pStyle w:val="ListParagraph"/>
        <w:numPr>
          <w:ilvl w:val="0"/>
          <w:numId w:val="7"/>
        </w:numPr>
        <w:spacing w:lineRule="auto" w:line="240" w:before="0" w:after="0"/>
        <w:contextualSpacing/>
        <w:rPr/>
      </w:pPr>
      <w:r>
        <w:rPr>
          <w:rFonts w:cs="Arial" w:ascii="Arial" w:hAnsi="Arial"/>
          <w:bCs/>
          <w:i/>
          <w:color w:val="000000"/>
        </w:rPr>
        <w:t>Sklo -  barva zelená</w:t>
      </w:r>
    </w:p>
    <w:p>
      <w:pPr>
        <w:pStyle w:val="ListParagraph"/>
        <w:numPr>
          <w:ilvl w:val="0"/>
          <w:numId w:val="7"/>
        </w:numPr>
        <w:spacing w:lineRule="auto" w:line="240" w:before="0" w:after="0"/>
        <w:contextualSpacing/>
        <w:rPr/>
      </w:pPr>
      <w:r>
        <w:rPr>
          <w:rFonts w:cs="Arial" w:ascii="Arial" w:hAnsi="Arial"/>
          <w:bCs/>
          <w:i/>
          <w:color w:val="000000"/>
        </w:rPr>
        <w:t xml:space="preserve">Kovy - </w:t>
      </w:r>
      <w:r>
        <w:rPr>
          <w:rFonts w:cs="Arial" w:ascii="Arial" w:hAnsi="Arial"/>
          <w:bCs/>
          <w:i/>
          <w:color w:val="auto"/>
        </w:rPr>
        <w:t>velkoobjemový kontejner s nápisem KOVY</w:t>
      </w:r>
    </w:p>
    <w:p>
      <w:pPr>
        <w:pStyle w:val="Normal"/>
        <w:numPr>
          <w:ilvl w:val="0"/>
          <w:numId w:val="7"/>
        </w:numPr>
        <w:rPr/>
      </w:pPr>
      <w:r>
        <w:rPr>
          <w:rFonts w:cs="Arial" w:ascii="Arial" w:hAnsi="Arial"/>
          <w:i/>
          <w:iCs/>
          <w:sz w:val="22"/>
          <w:szCs w:val="22"/>
        </w:rPr>
        <w:t>Jedlé oleje a tuky, barva zelená s nápisem Jedlé oleje a tuky</w:t>
      </w:r>
    </w:p>
    <w:p>
      <w:pPr>
        <w:pStyle w:val="Normal"/>
        <w:numPr>
          <w:ilvl w:val="0"/>
          <w:numId w:val="7"/>
        </w:numPr>
        <w:rPr/>
      </w:pPr>
      <w:r>
        <w:rPr>
          <w:rFonts w:cs="Arial" w:ascii="Arial" w:hAnsi="Arial"/>
          <w:i/>
          <w:iCs/>
          <w:sz w:val="22"/>
          <w:szCs w:val="22"/>
        </w:rPr>
        <w:t>Textil – bílý kontejner s nápisem Textil</w:t>
      </w:r>
    </w:p>
    <w:p>
      <w:pPr>
        <w:pStyle w:val="Normal"/>
        <w:numPr>
          <w:ilvl w:val="0"/>
          <w:numId w:val="0"/>
        </w:numPr>
        <w:ind w:left="720" w:hanging="0"/>
        <w:rPr>
          <w:rFonts w:ascii="Arial" w:hAnsi="Arial" w:cs="Arial"/>
          <w:i/>
          <w:i/>
          <w:iCs/>
          <w:sz w:val="22"/>
          <w:szCs w:val="22"/>
        </w:rPr>
      </w:pPr>
      <w:r>
        <w:rPr>
          <w:rFonts w:cs="Arial" w:ascii="Arial" w:hAnsi="Arial"/>
          <w:i/>
          <w:iCs/>
          <w:sz w:val="22"/>
          <w:szCs w:val="22"/>
        </w:rPr>
      </w:r>
    </w:p>
    <w:p>
      <w:pPr>
        <w:pStyle w:val="Normal"/>
        <w:ind w:left="360" w:hanging="0"/>
        <w:rPr>
          <w:rFonts w:ascii="Arial" w:hAnsi="Arial" w:cs="Arial"/>
          <w:i/>
          <w:i/>
          <w:iCs/>
          <w:sz w:val="22"/>
          <w:szCs w:val="22"/>
        </w:rPr>
      </w:pPr>
      <w:r>
        <w:rPr>
          <w:rFonts w:cs="Arial" w:ascii="Arial" w:hAnsi="Arial"/>
          <w:i/>
          <w:iCs/>
          <w:sz w:val="22"/>
          <w:szCs w:val="22"/>
        </w:rPr>
      </w:r>
    </w:p>
    <w:p>
      <w:pPr>
        <w:pStyle w:val="Normal"/>
        <w:numPr>
          <w:ilvl w:val="0"/>
          <w:numId w:val="2"/>
        </w:numPr>
        <w:jc w:val="both"/>
        <w:rPr>
          <w:rFonts w:ascii="Arial" w:hAnsi="Arial" w:cs="Arial"/>
          <w:sz w:val="22"/>
          <w:szCs w:val="22"/>
        </w:rPr>
      </w:pPr>
      <w:r>
        <w:rPr>
          <w:rFonts w:cs="Arial" w:ascii="Arial" w:hAnsi="Arial"/>
          <w:sz w:val="22"/>
          <w:szCs w:val="22"/>
        </w:rPr>
        <w:t>Do zvláštních sběrných nádob je zakázáno ukládat jiné složky komunálních odpadů, než pro které jsou určeny.</w:t>
      </w:r>
    </w:p>
    <w:p>
      <w:pPr>
        <w:pStyle w:val="Normal"/>
        <w:jc w:val="both"/>
        <w:rPr>
          <w:rFonts w:ascii="Arial" w:hAnsi="Arial" w:cs="Arial"/>
          <w:sz w:val="22"/>
          <w:szCs w:val="22"/>
        </w:rPr>
      </w:pPr>
      <w:r>
        <w:rPr>
          <w:rFonts w:cs="Arial" w:ascii="Arial" w:hAnsi="Arial"/>
          <w:sz w:val="22"/>
          <w:szCs w:val="22"/>
        </w:rPr>
      </w:r>
    </w:p>
    <w:p>
      <w:pPr>
        <w:pStyle w:val="Normal"/>
        <w:numPr>
          <w:ilvl w:val="0"/>
          <w:numId w:val="2"/>
        </w:numPr>
        <w:jc w:val="both"/>
        <w:rPr>
          <w:rFonts w:ascii="Arial" w:hAnsi="Arial" w:cs="Arial"/>
          <w:sz w:val="22"/>
          <w:szCs w:val="22"/>
        </w:rPr>
      </w:pPr>
      <w:r>
        <w:rPr>
          <w:rFonts w:cs="Arial" w:ascii="Arial" w:hAnsi="Arial"/>
          <w:sz w:val="22"/>
          <w:szCs w:val="22"/>
        </w:rPr>
        <w:t xml:space="preserve">Zvláštní sběrné nádoby je povinnost plnit tak, aby je bylo možno uzavřít a odpad z nich při manipulaci nevypadával. Pokud to umožňuje povaha odpadu, je nutno objem odpadu před jeho odložením do sběrné nádoby minimalizovat. </w:t>
      </w:r>
    </w:p>
    <w:p>
      <w:pPr>
        <w:pStyle w:val="Default"/>
        <w:ind w:left="360" w:hanging="0"/>
        <w:rPr/>
      </w:pPr>
      <w:r>
        <w:rPr/>
      </w:r>
    </w:p>
    <w:p>
      <w:pPr>
        <w:pStyle w:val="Normal"/>
        <w:numPr>
          <w:ilvl w:val="0"/>
          <w:numId w:val="2"/>
        </w:numPr>
        <w:jc w:val="both"/>
        <w:rPr/>
      </w:pPr>
      <w:r>
        <w:rPr>
          <w:rFonts w:cs="Arial" w:ascii="Arial" w:hAnsi="Arial"/>
          <w:sz w:val="22"/>
          <w:szCs w:val="22"/>
        </w:rPr>
        <w:t>Papír, plasty, nápojové kartony, sklo, kovy, bioodpad, textil, jedlé oleje a tuky lze také odevzdávat ve sběrném dvoře, který je umístěn za Obecním úřadem Hodějice, parcela č. 651. Veškeré složky tříděného odpadu lze také odevzdávat ve sběrném dvoře RESPONO, a.s., který je umístěn ve Slavkově u Brna, Zlatá Hora 1469.</w:t>
      </w:r>
    </w:p>
    <w:p>
      <w:pPr>
        <w:pStyle w:val="Nadpis2"/>
        <w:jc w:val="center"/>
        <w:rPr>
          <w:rFonts w:ascii="Arial" w:hAnsi="Arial" w:cs="Arial"/>
          <w:b/>
          <w:b/>
          <w:bCs/>
          <w:sz w:val="22"/>
          <w:szCs w:val="22"/>
          <w:u w:val="none"/>
        </w:rPr>
      </w:pPr>
      <w:r>
        <w:rPr>
          <w:rFonts w:cs="Arial" w:ascii="Arial" w:hAnsi="Arial"/>
          <w:b/>
          <w:bCs/>
          <w:sz w:val="22"/>
          <w:szCs w:val="22"/>
          <w:u w:val="none"/>
        </w:rPr>
        <w:t>Čl. 4</w:t>
      </w:r>
    </w:p>
    <w:p>
      <w:pPr>
        <w:pStyle w:val="Nadpis2"/>
        <w:jc w:val="center"/>
        <w:rPr>
          <w:rFonts w:ascii="Arial" w:hAnsi="Arial" w:cs="Arial"/>
          <w:b/>
          <w:b/>
          <w:bCs/>
          <w:sz w:val="22"/>
          <w:szCs w:val="22"/>
          <w:u w:val="none"/>
        </w:rPr>
      </w:pPr>
      <w:r>
        <w:rPr>
          <w:rFonts w:cs="Arial" w:ascii="Arial" w:hAnsi="Arial"/>
          <w:b/>
          <w:bCs/>
          <w:sz w:val="22"/>
          <w:szCs w:val="22"/>
          <w:u w:val="none"/>
        </w:rPr>
        <w:t xml:space="preserve"> </w:t>
      </w:r>
      <w:r>
        <w:rPr>
          <w:rFonts w:cs="Arial" w:ascii="Arial" w:hAnsi="Arial"/>
          <w:b/>
          <w:bCs/>
          <w:sz w:val="22"/>
          <w:szCs w:val="22"/>
          <w:u w:val="none"/>
        </w:rPr>
        <w:t>Svoz nebezpečných složek komunálního odpadu</w:t>
      </w:r>
    </w:p>
    <w:p>
      <w:pPr>
        <w:pStyle w:val="Normal"/>
        <w:ind w:left="360" w:hanging="0"/>
        <w:jc w:val="center"/>
        <w:rPr>
          <w:rFonts w:ascii="Arial" w:hAnsi="Arial" w:cs="Arial"/>
          <w:b/>
          <w:b/>
          <w:sz w:val="22"/>
          <w:szCs w:val="22"/>
        </w:rPr>
      </w:pPr>
      <w:r>
        <w:rPr>
          <w:rFonts w:cs="Arial" w:ascii="Arial" w:hAnsi="Arial"/>
          <w:b/>
          <w:sz w:val="22"/>
          <w:szCs w:val="22"/>
        </w:rPr>
      </w:r>
    </w:p>
    <w:p>
      <w:pPr>
        <w:pStyle w:val="Normal"/>
        <w:numPr>
          <w:ilvl w:val="0"/>
          <w:numId w:val="5"/>
        </w:numPr>
        <w:jc w:val="both"/>
        <w:rPr/>
      </w:pPr>
      <w:r>
        <w:rPr>
          <w:rFonts w:cs="Arial" w:ascii="Arial" w:hAnsi="Arial"/>
          <w:sz w:val="22"/>
          <w:szCs w:val="22"/>
        </w:rPr>
        <w:t xml:space="preserve">Svoz nebezpečných složek komunálního odpadu je zajišťován </w:t>
      </w:r>
      <w:r>
        <w:rPr>
          <w:rFonts w:cs="Arial" w:ascii="Arial" w:hAnsi="Arial"/>
          <w:iCs/>
          <w:sz w:val="22"/>
          <w:szCs w:val="22"/>
        </w:rPr>
        <w:t>minimálně dvakrát ročně</w:t>
      </w:r>
      <w:r>
        <w:rPr>
          <w:rFonts w:cs="Arial" w:ascii="Arial" w:hAnsi="Arial"/>
          <w:sz w:val="22"/>
          <w:szCs w:val="22"/>
        </w:rPr>
        <w:t xml:space="preserve"> jejich odebíráním na předem vyhlášených přechodných stanovištích přímo do zvláštních sběrných nádob k tomuto sběru určených. Informace o svozu jsou zveřejňovány</w:t>
      </w:r>
      <w:r>
        <w:rPr>
          <w:rFonts w:cs="Arial" w:ascii="Arial" w:hAnsi="Arial"/>
          <w:i/>
          <w:iCs/>
          <w:color w:val="00B0F0"/>
          <w:sz w:val="22"/>
          <w:szCs w:val="22"/>
        </w:rPr>
        <w:t xml:space="preserve"> </w:t>
      </w:r>
      <w:r>
        <w:rPr>
          <w:rFonts w:cs="Arial" w:ascii="Arial" w:hAnsi="Arial"/>
          <w:i w:val="false"/>
          <w:iCs w:val="false"/>
          <w:color w:val="auto"/>
          <w:sz w:val="22"/>
          <w:szCs w:val="22"/>
        </w:rPr>
        <w:t>na úřední desce obecního úřadu, výlepových plochách, v místním rozhlase, na internetu, letáčky.</w:t>
      </w:r>
    </w:p>
    <w:p>
      <w:pPr>
        <w:pStyle w:val="Normal"/>
        <w:rPr>
          <w:rFonts w:ascii="Arial" w:hAnsi="Arial" w:cs="Arial"/>
          <w:sz w:val="22"/>
          <w:szCs w:val="22"/>
        </w:rPr>
      </w:pPr>
      <w:r>
        <w:rPr>
          <w:rFonts w:cs="Arial" w:ascii="Arial" w:hAnsi="Arial"/>
          <w:sz w:val="22"/>
          <w:szCs w:val="22"/>
        </w:rPr>
      </w:r>
    </w:p>
    <w:p>
      <w:pPr>
        <w:pStyle w:val="Normal"/>
        <w:numPr>
          <w:ilvl w:val="0"/>
          <w:numId w:val="5"/>
        </w:numPr>
        <w:jc w:val="both"/>
        <w:rPr/>
      </w:pPr>
      <w:r>
        <w:rPr>
          <w:rFonts w:cs="Arial" w:ascii="Arial" w:hAnsi="Arial"/>
          <w:sz w:val="22"/>
          <w:szCs w:val="22"/>
        </w:rPr>
        <w:t xml:space="preserve">Nebezpečný odpad lze také odevzdávat ve sběrném dvoře </w:t>
      </w:r>
      <w:bookmarkStart w:id="0" w:name="__DdeLink__271_3778095883"/>
      <w:r>
        <w:rPr>
          <w:rFonts w:cs="Arial" w:ascii="Arial" w:hAnsi="Arial"/>
          <w:sz w:val="22"/>
          <w:szCs w:val="22"/>
        </w:rPr>
        <w:t xml:space="preserve">firmy Respono a.s., </w:t>
      </w:r>
      <w:bookmarkEnd w:id="0"/>
      <w:r>
        <w:rPr>
          <w:rFonts w:eastAsia="Times New Roman" w:cs="Arial" w:ascii="Arial" w:hAnsi="Arial"/>
          <w:color w:val="auto"/>
          <w:kern w:val="0"/>
          <w:sz w:val="22"/>
          <w:szCs w:val="22"/>
          <w:lang w:val="cs-CZ" w:eastAsia="cs-CZ" w:bidi="ar-SA"/>
        </w:rPr>
        <w:t>který je umístěn ve Slavkově u Brna, Zlatá Hora 1469.</w:t>
      </w:r>
    </w:p>
    <w:p>
      <w:pPr>
        <w:pStyle w:val="Normal"/>
        <w:ind w:left="360" w:hanging="0"/>
        <w:jc w:val="both"/>
        <w:rPr>
          <w:rFonts w:ascii="Arial" w:hAnsi="Arial" w:cs="Arial"/>
          <w:sz w:val="22"/>
          <w:szCs w:val="22"/>
        </w:rPr>
      </w:pPr>
      <w:r>
        <w:rPr>
          <w:rFonts w:cs="Arial" w:ascii="Arial" w:hAnsi="Arial"/>
          <w:sz w:val="22"/>
          <w:szCs w:val="22"/>
        </w:rPr>
      </w:r>
    </w:p>
    <w:p>
      <w:pPr>
        <w:pStyle w:val="Normal"/>
        <w:numPr>
          <w:ilvl w:val="0"/>
          <w:numId w:val="5"/>
        </w:numPr>
        <w:jc w:val="both"/>
        <w:rPr>
          <w:rFonts w:ascii="Arial" w:hAnsi="Arial" w:cs="Arial"/>
          <w:sz w:val="22"/>
          <w:szCs w:val="22"/>
        </w:rPr>
      </w:pPr>
      <w:r>
        <w:rPr>
          <w:rFonts w:cs="Arial" w:ascii="Arial" w:hAnsi="Arial"/>
          <w:sz w:val="22"/>
          <w:szCs w:val="22"/>
        </w:rPr>
        <w:t>Soustřeďování nebezpečných složek komunálního odpadu podléhá požadavkům stanoveným v čl. 3 odst. 4 a 5.</w:t>
      </w:r>
    </w:p>
    <w:p>
      <w:pPr>
        <w:pStyle w:val="Normal"/>
        <w:ind w:left="360" w:hanging="0"/>
        <w:jc w:val="both"/>
        <w:rPr/>
      </w:pPr>
      <w:r>
        <w:rPr>
          <w:rFonts w:cs="Arial" w:ascii="Arial" w:hAnsi="Arial"/>
          <w:i/>
          <w:color w:val="00B0F0"/>
          <w:sz w:val="22"/>
          <w:szCs w:val="22"/>
        </w:rPr>
        <w:t xml:space="preserve">   </w:t>
      </w:r>
    </w:p>
    <w:p>
      <w:pPr>
        <w:pStyle w:val="Normal"/>
        <w:rPr>
          <w:rFonts w:ascii="Arial" w:hAnsi="Arial" w:cs="Arial"/>
          <w:b/>
          <w:b/>
          <w:sz w:val="22"/>
          <w:szCs w:val="22"/>
        </w:rPr>
      </w:pPr>
      <w:r>
        <w:rPr>
          <w:rFonts w:cs="Arial" w:ascii="Arial" w:hAnsi="Arial"/>
          <w:b/>
          <w:sz w:val="22"/>
          <w:szCs w:val="22"/>
        </w:rPr>
      </w:r>
    </w:p>
    <w:p>
      <w:pPr>
        <w:pStyle w:val="Normal"/>
        <w:jc w:val="center"/>
        <w:rPr>
          <w:rFonts w:ascii="Arial" w:hAnsi="Arial" w:cs="Arial"/>
          <w:b/>
          <w:b/>
          <w:sz w:val="22"/>
          <w:szCs w:val="22"/>
        </w:rPr>
      </w:pPr>
      <w:r>
        <w:rPr>
          <w:rFonts w:cs="Arial" w:ascii="Arial" w:hAnsi="Arial"/>
          <w:b/>
          <w:sz w:val="22"/>
          <w:szCs w:val="22"/>
        </w:rPr>
        <w:t>Čl. 5</w:t>
      </w:r>
    </w:p>
    <w:p>
      <w:pPr>
        <w:pStyle w:val="Normal"/>
        <w:jc w:val="center"/>
        <w:rPr>
          <w:rFonts w:ascii="Arial" w:hAnsi="Arial" w:cs="Arial"/>
          <w:sz w:val="22"/>
          <w:szCs w:val="22"/>
        </w:rPr>
      </w:pPr>
      <w:r>
        <w:rPr>
          <w:rFonts w:cs="Arial" w:ascii="Arial" w:hAnsi="Arial"/>
          <w:b/>
          <w:sz w:val="22"/>
          <w:szCs w:val="22"/>
        </w:rPr>
        <w:t xml:space="preserve"> </w:t>
      </w:r>
      <w:r>
        <w:rPr>
          <w:rFonts w:cs="Arial" w:ascii="Arial" w:hAnsi="Arial"/>
          <w:b/>
          <w:sz w:val="22"/>
          <w:szCs w:val="22"/>
        </w:rPr>
        <w:t>Svoz objemného odpadu</w:t>
      </w:r>
    </w:p>
    <w:p>
      <w:pPr>
        <w:pStyle w:val="Normal"/>
        <w:ind w:left="360" w:hanging="0"/>
        <w:jc w:val="center"/>
        <w:rPr>
          <w:rFonts w:ascii="Arial" w:hAnsi="Arial" w:cs="Arial"/>
          <w:iCs/>
          <w:sz w:val="22"/>
          <w:szCs w:val="22"/>
        </w:rPr>
      </w:pPr>
      <w:r>
        <w:rPr>
          <w:rFonts w:cs="Arial" w:ascii="Arial" w:hAnsi="Arial"/>
          <w:iCs/>
          <w:sz w:val="22"/>
          <w:szCs w:val="22"/>
        </w:rPr>
      </w:r>
    </w:p>
    <w:p>
      <w:pPr>
        <w:pStyle w:val="Normal"/>
        <w:jc w:val="both"/>
        <w:rPr>
          <w:rFonts w:ascii="Arial" w:hAnsi="Arial" w:cs="Arial"/>
          <w:i/>
          <w:i/>
          <w:iCs/>
          <w:sz w:val="22"/>
          <w:szCs w:val="22"/>
        </w:rPr>
      </w:pPr>
      <w:r>
        <w:rPr>
          <w:rFonts w:cs="Arial" w:ascii="Arial" w:hAnsi="Arial"/>
          <w:i/>
          <w:iCs/>
          <w:sz w:val="22"/>
          <w:szCs w:val="22"/>
        </w:rPr>
      </w:r>
    </w:p>
    <w:p>
      <w:pPr>
        <w:pStyle w:val="Normal"/>
        <w:numPr>
          <w:ilvl w:val="0"/>
          <w:numId w:val="3"/>
        </w:numPr>
        <w:jc w:val="both"/>
        <w:rPr/>
      </w:pPr>
      <w:r>
        <w:rPr>
          <w:rFonts w:cs="Arial" w:ascii="Arial" w:hAnsi="Arial"/>
          <w:sz w:val="22"/>
          <w:szCs w:val="22"/>
        </w:rPr>
        <w:t xml:space="preserve">Objemný odpad lze odevzdávat (na základě smlouvy) ve sběrném dvoře firmy Respono a. s., </w:t>
      </w:r>
      <w:r>
        <w:rPr>
          <w:rFonts w:eastAsia="Times New Roman" w:cs="Arial" w:ascii="Arial" w:hAnsi="Arial"/>
          <w:color w:val="auto"/>
          <w:kern w:val="0"/>
          <w:sz w:val="22"/>
          <w:szCs w:val="22"/>
          <w:lang w:val="cs-CZ" w:eastAsia="cs-CZ" w:bidi="ar-SA"/>
        </w:rPr>
        <w:t xml:space="preserve">který je umístěn ve </w:t>
      </w:r>
      <w:r>
        <w:rPr>
          <w:rFonts w:cs="Arial" w:ascii="Arial" w:hAnsi="Arial"/>
          <w:sz w:val="22"/>
          <w:szCs w:val="22"/>
        </w:rPr>
        <w:t xml:space="preserve"> Slavkově u Brna, Zlatá Hora 1469. </w:t>
      </w:r>
    </w:p>
    <w:p>
      <w:pPr>
        <w:pStyle w:val="NormlnIMP"/>
        <w:suppressAutoHyphens w:val="false"/>
        <w:overflowPunct w:val="false"/>
        <w:spacing w:lineRule="auto" w:line="240"/>
        <w:textAlignment w:val="auto"/>
        <w:rPr>
          <w:rFonts w:ascii="Arial" w:hAnsi="Arial" w:cs="Arial"/>
          <w:sz w:val="22"/>
          <w:szCs w:val="22"/>
        </w:rPr>
      </w:pPr>
      <w:r>
        <w:rPr>
          <w:rFonts w:cs="Arial" w:ascii="Arial" w:hAnsi="Arial"/>
          <w:sz w:val="22"/>
          <w:szCs w:val="22"/>
        </w:rPr>
      </w:r>
    </w:p>
    <w:p>
      <w:pPr>
        <w:pStyle w:val="Normal"/>
        <w:numPr>
          <w:ilvl w:val="0"/>
          <w:numId w:val="3"/>
        </w:numPr>
        <w:tabs>
          <w:tab w:val="clear" w:pos="708"/>
          <w:tab w:val="left" w:pos="567" w:leader="none"/>
        </w:tabs>
        <w:ind w:left="0" w:hanging="0"/>
        <w:jc w:val="both"/>
        <w:rPr>
          <w:rFonts w:ascii="Arial" w:hAnsi="Arial" w:cs="Arial"/>
          <w:sz w:val="22"/>
          <w:szCs w:val="22"/>
        </w:rPr>
      </w:pPr>
      <w:r>
        <w:rPr>
          <w:rFonts w:cs="Arial" w:ascii="Arial" w:hAnsi="Arial"/>
          <w:sz w:val="22"/>
          <w:szCs w:val="22"/>
        </w:rPr>
        <w:t xml:space="preserve">Soustřeďování objemného odpadu podléhá požadavkům stanoveným v čl. 3 odst. 4 a 5. </w:t>
      </w:r>
    </w:p>
    <w:p>
      <w:pPr>
        <w:pStyle w:val="Normal"/>
        <w:rPr>
          <w:rFonts w:ascii="Arial" w:hAnsi="Arial" w:cs="Arial"/>
          <w:b/>
          <w:b/>
          <w:sz w:val="22"/>
          <w:szCs w:val="22"/>
        </w:rPr>
      </w:pPr>
      <w:r>
        <w:rPr>
          <w:rFonts w:cs="Arial" w:ascii="Arial" w:hAnsi="Arial"/>
          <w:b/>
          <w:sz w:val="22"/>
          <w:szCs w:val="22"/>
        </w:rPr>
      </w:r>
    </w:p>
    <w:p>
      <w:pPr>
        <w:pStyle w:val="Normal"/>
        <w:jc w:val="center"/>
        <w:rPr>
          <w:rFonts w:ascii="Arial" w:hAnsi="Arial" w:cs="Arial"/>
          <w:b/>
          <w:b/>
          <w:sz w:val="22"/>
          <w:szCs w:val="22"/>
        </w:rPr>
      </w:pPr>
      <w:r>
        <w:rPr>
          <w:rFonts w:cs="Arial" w:ascii="Arial" w:hAnsi="Arial"/>
          <w:b/>
          <w:sz w:val="22"/>
          <w:szCs w:val="22"/>
        </w:rPr>
        <w:t>Čl. 6</w:t>
      </w:r>
    </w:p>
    <w:p>
      <w:pPr>
        <w:pStyle w:val="Normal"/>
        <w:jc w:val="center"/>
        <w:rPr>
          <w:rFonts w:ascii="Arial" w:hAnsi="Arial" w:cs="Arial"/>
          <w:b/>
          <w:b/>
          <w:sz w:val="22"/>
          <w:szCs w:val="22"/>
        </w:rPr>
      </w:pPr>
      <w:r>
        <w:rPr>
          <w:rFonts w:cs="Arial" w:ascii="Arial" w:hAnsi="Arial"/>
          <w:b/>
          <w:sz w:val="22"/>
          <w:szCs w:val="22"/>
        </w:rPr>
        <w:t xml:space="preserve">Soustřeďování směsného komunálního odpadu </w:t>
      </w:r>
    </w:p>
    <w:p>
      <w:pPr>
        <w:pStyle w:val="Normal"/>
        <w:jc w:val="center"/>
        <w:rPr>
          <w:rFonts w:ascii="Arial" w:hAnsi="Arial" w:cs="Arial"/>
          <w:b/>
          <w:b/>
          <w:sz w:val="22"/>
          <w:szCs w:val="22"/>
        </w:rPr>
      </w:pPr>
      <w:r>
        <w:rPr>
          <w:rFonts w:cs="Arial" w:ascii="Arial" w:hAnsi="Arial"/>
          <w:b/>
          <w:sz w:val="22"/>
          <w:szCs w:val="22"/>
        </w:rPr>
      </w:r>
    </w:p>
    <w:p>
      <w:pPr>
        <w:pStyle w:val="Normal"/>
        <w:widowControl w:val="false"/>
        <w:numPr>
          <w:ilvl w:val="0"/>
          <w:numId w:val="9"/>
        </w:numPr>
        <w:ind w:left="426" w:hanging="426"/>
        <w:jc w:val="both"/>
        <w:rPr/>
      </w:pPr>
      <w:r>
        <w:rPr>
          <w:rFonts w:cs="Arial" w:ascii="Arial" w:hAnsi="Arial"/>
          <w:sz w:val="22"/>
          <w:szCs w:val="22"/>
        </w:rPr>
        <w:t>Směsný komunální odpad se odkládá do sběrných nádob. Pro účely této vyhlášky se sběrnými nádobami rozumějí</w:t>
      </w:r>
      <w:r>
        <w:rPr>
          <w:rFonts w:cs="Arial" w:ascii="Arial" w:hAnsi="Arial"/>
          <w:color w:val="00B0F0"/>
          <w:sz w:val="22"/>
          <w:szCs w:val="22"/>
        </w:rPr>
        <w:t>:</w:t>
      </w:r>
      <w:r>
        <w:rPr>
          <w:rFonts w:cs="Arial" w:ascii="Arial" w:hAnsi="Arial"/>
          <w:i/>
          <w:color w:val="00B0F0"/>
          <w:sz w:val="22"/>
          <w:szCs w:val="22"/>
        </w:rPr>
        <w:t xml:space="preserve"> </w:t>
      </w:r>
    </w:p>
    <w:p>
      <w:pPr>
        <w:pStyle w:val="Normal"/>
        <w:numPr>
          <w:ilvl w:val="0"/>
          <w:numId w:val="1"/>
        </w:numPr>
        <w:ind w:firstLine="66"/>
        <w:jc w:val="both"/>
        <w:rPr/>
      </w:pPr>
      <w:r>
        <w:rPr>
          <w:rFonts w:cs="Arial" w:ascii="Arial" w:hAnsi="Arial"/>
          <w:bCs/>
          <w:i w:val="false"/>
          <w:iCs w:val="false"/>
          <w:color w:val="auto"/>
          <w:sz w:val="22"/>
          <w:szCs w:val="22"/>
        </w:rPr>
        <w:t>typizované sběrné nádoby určené ke shromažďování směsného komunálního odpadu</w:t>
      </w:r>
      <w:r>
        <w:rPr>
          <w:rFonts w:eastAsia="Times New Roman" w:cs="Arial" w:ascii="Arial" w:hAnsi="Arial"/>
          <w:bCs/>
          <w:i w:val="false"/>
          <w:iCs w:val="false"/>
          <w:color w:val="auto"/>
          <w:sz w:val="22"/>
          <w:szCs w:val="22"/>
        </w:rPr>
        <w:t xml:space="preserve"> označené identifikačním čipem a QR kódem</w:t>
      </w:r>
    </w:p>
    <w:p>
      <w:pPr>
        <w:pStyle w:val="Normal"/>
        <w:numPr>
          <w:ilvl w:val="0"/>
          <w:numId w:val="1"/>
        </w:numPr>
        <w:ind w:firstLine="66"/>
        <w:jc w:val="both"/>
        <w:rPr>
          <w:i w:val="false"/>
          <w:i w:val="false"/>
          <w:iCs w:val="false"/>
          <w:color w:val="auto"/>
        </w:rPr>
      </w:pPr>
      <w:r>
        <w:rPr>
          <w:rFonts w:cs="Arial" w:ascii="Arial" w:hAnsi="Arial"/>
          <w:bCs/>
          <w:i w:val="false"/>
          <w:iCs w:val="false"/>
          <w:color w:val="auto"/>
          <w:sz w:val="22"/>
          <w:szCs w:val="22"/>
        </w:rPr>
        <w:t>velkoobjemový kontejner umístěný za OÚ, parc. č. 651</w:t>
      </w:r>
    </w:p>
    <w:p>
      <w:pPr>
        <w:pStyle w:val="Normal"/>
        <w:numPr>
          <w:ilvl w:val="0"/>
          <w:numId w:val="1"/>
        </w:numPr>
        <w:ind w:firstLine="66"/>
        <w:jc w:val="both"/>
        <w:rPr/>
      </w:pPr>
      <w:r>
        <w:rPr>
          <w:rFonts w:cs="Arial" w:ascii="Arial" w:hAnsi="Arial"/>
          <w:bCs/>
          <w:i w:val="false"/>
          <w:iCs w:val="false"/>
          <w:color w:val="auto"/>
          <w:sz w:val="22"/>
          <w:szCs w:val="22"/>
        </w:rPr>
        <w:t>odpadkové koše, které jsou umístěny na veřejných prostranstvích v obci, sloužící pro odkládání drobného směsného komunálního odpadu.</w:t>
      </w:r>
    </w:p>
    <w:p>
      <w:pPr>
        <w:pStyle w:val="Normal"/>
        <w:ind w:firstLine="66"/>
        <w:jc w:val="both"/>
        <w:rPr>
          <w:rFonts w:ascii="Arial" w:hAnsi="Arial" w:cs="Arial"/>
          <w:bCs/>
          <w:i w:val="false"/>
          <w:i w:val="false"/>
          <w:iCs w:val="false"/>
          <w:color w:val="auto"/>
          <w:sz w:val="22"/>
          <w:szCs w:val="22"/>
        </w:rPr>
      </w:pPr>
      <w:r>
        <w:rPr>
          <w:rFonts w:cs="Arial" w:ascii="Arial" w:hAnsi="Arial"/>
          <w:bCs/>
          <w:i w:val="false"/>
          <w:iCs w:val="false"/>
          <w:color w:val="auto"/>
          <w:sz w:val="22"/>
          <w:szCs w:val="22"/>
        </w:rPr>
      </w:r>
    </w:p>
    <w:p>
      <w:pPr>
        <w:pStyle w:val="Normal"/>
        <w:numPr>
          <w:ilvl w:val="0"/>
          <w:numId w:val="0"/>
        </w:numPr>
        <w:ind w:left="360" w:hanging="0"/>
        <w:jc w:val="both"/>
        <w:rPr>
          <w:rFonts w:ascii="Arial" w:hAnsi="Arial" w:cs="Arial"/>
          <w:i/>
          <w:i/>
          <w:color w:val="00B0F0"/>
          <w:sz w:val="22"/>
          <w:szCs w:val="22"/>
        </w:rPr>
      </w:pPr>
      <w:r>
        <w:rPr>
          <w:rFonts w:cs="Arial" w:ascii="Arial" w:hAnsi="Arial"/>
          <w:i/>
          <w:color w:val="00B0F0"/>
          <w:sz w:val="22"/>
          <w:szCs w:val="22"/>
        </w:rPr>
      </w:r>
    </w:p>
    <w:p>
      <w:pPr>
        <w:pStyle w:val="Normal"/>
        <w:numPr>
          <w:ilvl w:val="0"/>
          <w:numId w:val="9"/>
        </w:numPr>
        <w:ind w:left="426" w:hanging="426"/>
        <w:jc w:val="both"/>
        <w:rPr/>
      </w:pPr>
      <w:r>
        <w:rPr>
          <w:rFonts w:cs="Arial" w:ascii="Arial" w:hAnsi="Arial"/>
          <w:sz w:val="22"/>
          <w:szCs w:val="22"/>
        </w:rPr>
        <w:t xml:space="preserve">Soustřeďování směsného komunálního odpadu podléhá požadavkům stanoveným </w:t>
        <w:br/>
        <w:t xml:space="preserve">v čl. 3 odst. 4 a 5. </w:t>
      </w:r>
    </w:p>
    <w:p>
      <w:pPr>
        <w:pStyle w:val="Normal"/>
        <w:numPr>
          <w:ilvl w:val="0"/>
          <w:numId w:val="0"/>
        </w:numPr>
        <w:ind w:left="720" w:hanging="0"/>
        <w:jc w:val="both"/>
        <w:rPr>
          <w:rFonts w:ascii="Arial" w:hAnsi="Arial" w:cs="Arial"/>
          <w:sz w:val="22"/>
          <w:szCs w:val="22"/>
        </w:rPr>
      </w:pPr>
      <w:r>
        <w:rPr>
          <w:rFonts w:cs="Arial" w:ascii="Arial" w:hAnsi="Arial"/>
          <w:sz w:val="22"/>
          <w:szCs w:val="22"/>
        </w:rPr>
      </w:r>
    </w:p>
    <w:p>
      <w:pPr>
        <w:pStyle w:val="Normal"/>
        <w:numPr>
          <w:ilvl w:val="0"/>
          <w:numId w:val="9"/>
        </w:numPr>
        <w:ind w:left="426" w:hanging="426"/>
        <w:jc w:val="both"/>
        <w:rPr/>
      </w:pPr>
      <w:r>
        <w:rPr>
          <w:rFonts w:cs="Arial" w:ascii="Arial" w:hAnsi="Arial"/>
          <w:color w:val="auto"/>
          <w:sz w:val="22"/>
          <w:szCs w:val="22"/>
        </w:rPr>
        <w:t>Sběrné nádoby musí být označeny čipem, který vydává obec.</w:t>
      </w:r>
    </w:p>
    <w:p>
      <w:pPr>
        <w:pStyle w:val="Normal"/>
        <w:numPr>
          <w:ilvl w:val="0"/>
          <w:numId w:val="0"/>
        </w:numPr>
        <w:ind w:left="720" w:hanging="0"/>
        <w:jc w:val="both"/>
        <w:rPr>
          <w:rFonts w:ascii="Arial" w:hAnsi="Arial" w:cs="Arial"/>
          <w:color w:val="auto"/>
          <w:sz w:val="22"/>
          <w:szCs w:val="22"/>
        </w:rPr>
      </w:pPr>
      <w:r>
        <w:rPr>
          <w:rFonts w:cs="Arial" w:ascii="Arial" w:hAnsi="Arial"/>
          <w:color w:val="auto"/>
          <w:sz w:val="22"/>
          <w:szCs w:val="22"/>
        </w:rPr>
      </w:r>
    </w:p>
    <w:p>
      <w:pPr>
        <w:pStyle w:val="Default"/>
        <w:ind w:left="360" w:hanging="0"/>
        <w:jc w:val="both"/>
        <w:rPr>
          <w:rFonts w:ascii="Arial" w:hAnsi="Arial" w:cs="Arial"/>
          <w:b/>
          <w:b/>
          <w:sz w:val="22"/>
          <w:szCs w:val="22"/>
        </w:rPr>
      </w:pPr>
      <w:r>
        <w:rPr>
          <w:rFonts w:cs="Arial"/>
          <w:b/>
          <w:sz w:val="22"/>
          <w:szCs w:val="22"/>
        </w:rPr>
      </w:r>
    </w:p>
    <w:p>
      <w:pPr>
        <w:pStyle w:val="Normal"/>
        <w:jc w:val="center"/>
        <w:rPr/>
      </w:pPr>
      <w:r>
        <w:rPr>
          <w:rFonts w:cs="Arial" w:ascii="Arial" w:hAnsi="Arial"/>
          <w:b/>
          <w:sz w:val="22"/>
          <w:szCs w:val="22"/>
        </w:rPr>
        <w:t>Čl. 7</w:t>
      </w:r>
    </w:p>
    <w:p>
      <w:pPr>
        <w:pStyle w:val="Nadpis2"/>
        <w:jc w:val="center"/>
        <w:rPr/>
      </w:pPr>
      <w:r>
        <w:rPr>
          <w:rFonts w:cs="Arial" w:ascii="Arial" w:hAnsi="Arial"/>
          <w:b/>
          <w:bCs/>
          <w:sz w:val="22"/>
          <w:szCs w:val="22"/>
          <w:u w:val="none"/>
        </w:rPr>
        <w:t>Nakládání s movitými věcmi v rámci předcházení vzniku odpadu</w:t>
      </w:r>
    </w:p>
    <w:p>
      <w:pPr>
        <w:pStyle w:val="Normal"/>
        <w:numPr>
          <w:ilvl w:val="0"/>
          <w:numId w:val="0"/>
        </w:numPr>
        <w:tabs>
          <w:tab w:val="clear" w:pos="708"/>
          <w:tab w:val="left" w:pos="709" w:leader="none"/>
        </w:tabs>
        <w:ind w:left="786" w:hanging="0"/>
        <w:jc w:val="both"/>
        <w:rPr/>
      </w:pPr>
      <w:r>
        <w:rPr/>
      </w:r>
    </w:p>
    <w:p>
      <w:pPr>
        <w:pStyle w:val="Normal"/>
        <w:numPr>
          <w:ilvl w:val="0"/>
          <w:numId w:val="0"/>
        </w:numPr>
        <w:tabs>
          <w:tab w:val="clear" w:pos="708"/>
          <w:tab w:val="left" w:pos="709" w:leader="none"/>
        </w:tabs>
        <w:ind w:left="786" w:hanging="0"/>
        <w:jc w:val="both"/>
        <w:rPr/>
      </w:pPr>
      <w:r>
        <w:rPr>
          <w:rFonts w:cs="Arial" w:ascii="Arial" w:hAnsi="Arial"/>
          <w:sz w:val="22"/>
          <w:szCs w:val="22"/>
        </w:rPr>
        <w:t>1) Obec v rámci předcházení vzniku odpadu za účelem jejich opětovného použití nakládá s těmito movitými věcmi:</w:t>
      </w:r>
    </w:p>
    <w:p>
      <w:pPr>
        <w:pStyle w:val="Normal"/>
        <w:tabs>
          <w:tab w:val="clear" w:pos="708"/>
          <w:tab w:val="left" w:pos="709" w:leader="none"/>
        </w:tabs>
        <w:ind w:left="360" w:hanging="0"/>
        <w:jc w:val="both"/>
        <w:rPr>
          <w:rFonts w:ascii="Arial" w:hAnsi="Arial" w:cs="Arial"/>
          <w:sz w:val="22"/>
          <w:szCs w:val="22"/>
        </w:rPr>
      </w:pPr>
      <w:r>
        <w:rPr>
          <w:rFonts w:cs="Arial" w:ascii="Arial" w:hAnsi="Arial"/>
          <w:sz w:val="22"/>
          <w:szCs w:val="22"/>
        </w:rPr>
      </w:r>
    </w:p>
    <w:p>
      <w:pPr>
        <w:pStyle w:val="Normal"/>
        <w:tabs>
          <w:tab w:val="clear" w:pos="708"/>
          <w:tab w:val="left" w:pos="709" w:leader="none"/>
        </w:tabs>
        <w:ind w:left="360" w:hanging="0"/>
        <w:jc w:val="both"/>
        <w:rPr/>
      </w:pPr>
      <w:r>
        <w:rPr>
          <w:rFonts w:cs="Arial" w:ascii="Arial" w:hAnsi="Arial"/>
          <w:sz w:val="22"/>
          <w:szCs w:val="22"/>
        </w:rPr>
        <w:tab/>
        <w:t xml:space="preserve">a) </w:t>
      </w:r>
      <w:r>
        <w:rPr>
          <w:rFonts w:eastAsia="Times New Roman" w:cs="Arial" w:ascii="Arial" w:hAnsi="Arial"/>
          <w:color w:val="auto"/>
          <w:kern w:val="0"/>
          <w:sz w:val="22"/>
          <w:szCs w:val="22"/>
          <w:lang w:val="cs-CZ" w:eastAsia="cs-CZ" w:bidi="ar-SA"/>
        </w:rPr>
        <w:t>oděvy a textil</w:t>
      </w:r>
    </w:p>
    <w:p>
      <w:pPr>
        <w:pStyle w:val="Normal"/>
        <w:tabs>
          <w:tab w:val="clear" w:pos="708"/>
          <w:tab w:val="left" w:pos="709" w:leader="none"/>
        </w:tabs>
        <w:ind w:left="360" w:hanging="0"/>
        <w:jc w:val="both"/>
        <w:rPr/>
      </w:pPr>
      <w:r>
        <w:rPr>
          <w:rFonts w:cs="Arial" w:ascii="Arial" w:hAnsi="Arial"/>
          <w:sz w:val="22"/>
          <w:szCs w:val="22"/>
        </w:rPr>
        <w:tab/>
      </w:r>
    </w:p>
    <w:p>
      <w:pPr>
        <w:pStyle w:val="Normal"/>
        <w:tabs>
          <w:tab w:val="clear" w:pos="708"/>
          <w:tab w:val="left" w:pos="709" w:leader="none"/>
        </w:tabs>
        <w:ind w:left="360" w:hanging="0"/>
        <w:jc w:val="both"/>
        <w:rPr>
          <w:rFonts w:ascii="Arial" w:hAnsi="Arial" w:cs="Arial"/>
          <w:color w:val="00B0F0"/>
          <w:sz w:val="22"/>
          <w:szCs w:val="22"/>
        </w:rPr>
      </w:pPr>
      <w:r>
        <w:rPr>
          <w:rFonts w:cs="Arial" w:ascii="Arial" w:hAnsi="Arial"/>
          <w:color w:val="00B0F0"/>
          <w:sz w:val="22"/>
          <w:szCs w:val="22"/>
        </w:rPr>
      </w:r>
    </w:p>
    <w:p>
      <w:pPr>
        <w:pStyle w:val="Normal"/>
        <w:numPr>
          <w:ilvl w:val="0"/>
          <w:numId w:val="0"/>
        </w:numPr>
        <w:tabs>
          <w:tab w:val="clear" w:pos="708"/>
          <w:tab w:val="left" w:pos="709" w:leader="none"/>
        </w:tabs>
        <w:ind w:left="786" w:hanging="0"/>
        <w:jc w:val="both"/>
        <w:rPr>
          <w:rFonts w:ascii="Arial" w:hAnsi="Arial" w:cs="Arial"/>
          <w:b w:val="false"/>
          <w:b w:val="false"/>
          <w:bCs w:val="false"/>
          <w:color w:val="auto"/>
          <w:sz w:val="22"/>
          <w:szCs w:val="22"/>
          <w:u w:val="none"/>
        </w:rPr>
      </w:pPr>
      <w:r>
        <w:rPr>
          <w:rFonts w:cs="Arial" w:ascii="Arial" w:hAnsi="Arial"/>
          <w:b w:val="false"/>
          <w:bCs w:val="false"/>
          <w:color w:val="auto"/>
          <w:sz w:val="22"/>
          <w:szCs w:val="22"/>
          <w:u w:val="none"/>
        </w:rPr>
        <w:t xml:space="preserve">2) Movité věci uvedené v odst. 1 lze odevzdávat do kontejnerů umístěných na sběrném dvoře za obecním úřadem, parcela č. 651. Movitá věc musí být předána v takovém stavu, aby bylo možné její opětovné použití. </w:t>
      </w:r>
    </w:p>
    <w:p>
      <w:pPr>
        <w:pStyle w:val="Normal"/>
        <w:ind w:left="284" w:hanging="0"/>
        <w:jc w:val="both"/>
        <w:rPr>
          <w:rFonts w:ascii="Arial" w:hAnsi="Arial" w:cs="Arial"/>
          <w:b/>
          <w:b/>
          <w:bCs/>
          <w:sz w:val="22"/>
          <w:szCs w:val="22"/>
          <w:u w:val="none"/>
        </w:rPr>
      </w:pPr>
      <w:r>
        <w:rPr>
          <w:rFonts w:cs="Arial" w:ascii="Arial" w:hAnsi="Arial"/>
          <w:b/>
          <w:bCs/>
          <w:sz w:val="22"/>
          <w:szCs w:val="22"/>
          <w:u w:val="none"/>
        </w:rPr>
      </w:r>
    </w:p>
    <w:p>
      <w:pPr>
        <w:pStyle w:val="Normal"/>
        <w:rPr>
          <w:rFonts w:ascii="Arial" w:hAnsi="Arial" w:cs="Arial"/>
          <w:b/>
          <w:b/>
          <w:sz w:val="22"/>
          <w:szCs w:val="22"/>
        </w:rPr>
      </w:pPr>
      <w:r>
        <w:rPr>
          <w:rFonts w:cs="Arial" w:ascii="Arial" w:hAnsi="Arial"/>
          <w:b/>
          <w:sz w:val="22"/>
          <w:szCs w:val="22"/>
        </w:rPr>
      </w:r>
    </w:p>
    <w:p>
      <w:pPr>
        <w:pStyle w:val="Normal"/>
        <w:jc w:val="center"/>
        <w:rPr/>
      </w:pPr>
      <w:r>
        <w:rPr>
          <w:rFonts w:cs="Arial" w:ascii="Arial" w:hAnsi="Arial"/>
          <w:b/>
          <w:sz w:val="22"/>
          <w:szCs w:val="22"/>
        </w:rPr>
        <w:t>Čl. 8</w:t>
      </w:r>
    </w:p>
    <w:p>
      <w:pPr>
        <w:pStyle w:val="Nadpis2"/>
        <w:jc w:val="center"/>
        <w:rPr>
          <w:rFonts w:ascii="Arial" w:hAnsi="Arial" w:cs="Arial"/>
          <w:b/>
          <w:b/>
          <w:bCs/>
          <w:sz w:val="22"/>
          <w:szCs w:val="22"/>
          <w:u w:val="none"/>
        </w:rPr>
      </w:pPr>
      <w:r>
        <w:rPr>
          <w:rFonts w:cs="Arial" w:ascii="Arial" w:hAnsi="Arial"/>
          <w:b/>
          <w:bCs/>
          <w:sz w:val="22"/>
          <w:szCs w:val="22"/>
          <w:u w:val="none"/>
        </w:rPr>
        <w:t xml:space="preserve">Nakládání s výrobky s ukončenou životností v rámci služby pro výrobce </w:t>
      </w:r>
    </w:p>
    <w:p>
      <w:pPr>
        <w:pStyle w:val="Nadpis2"/>
        <w:jc w:val="center"/>
        <w:rPr>
          <w:rFonts w:ascii="Arial" w:hAnsi="Arial" w:cs="Arial"/>
          <w:b/>
          <w:b/>
          <w:bCs/>
          <w:sz w:val="22"/>
          <w:szCs w:val="22"/>
          <w:u w:val="none"/>
        </w:rPr>
      </w:pPr>
      <w:r>
        <w:rPr>
          <w:rFonts w:cs="Arial" w:ascii="Arial" w:hAnsi="Arial"/>
          <w:b/>
          <w:bCs/>
          <w:sz w:val="22"/>
          <w:szCs w:val="22"/>
          <w:u w:val="none"/>
        </w:rPr>
        <w:t>(zpětný odběr)</w:t>
      </w:r>
    </w:p>
    <w:p>
      <w:pPr>
        <w:pStyle w:val="Nadpis2"/>
        <w:jc w:val="center"/>
        <w:rPr>
          <w:rFonts w:ascii="Arial" w:hAnsi="Arial" w:cs="Arial"/>
          <w:i/>
          <w:i/>
          <w:color w:val="00B0F0"/>
          <w:sz w:val="22"/>
          <w:szCs w:val="22"/>
        </w:rPr>
      </w:pPr>
      <w:r>
        <w:rPr>
          <w:rFonts w:cs="Arial" w:ascii="Arial" w:hAnsi="Arial"/>
          <w:i/>
          <w:color w:val="00B0F0"/>
          <w:sz w:val="22"/>
          <w:szCs w:val="22"/>
        </w:rPr>
      </w:r>
    </w:p>
    <w:p>
      <w:pPr>
        <w:pStyle w:val="Normal"/>
        <w:numPr>
          <w:ilvl w:val="0"/>
          <w:numId w:val="10"/>
        </w:numPr>
        <w:ind w:left="426" w:hanging="426"/>
        <w:jc w:val="both"/>
        <w:rPr>
          <w:rFonts w:ascii="Arial" w:hAnsi="Arial" w:cs="Arial"/>
          <w:sz w:val="22"/>
          <w:szCs w:val="22"/>
        </w:rPr>
      </w:pPr>
      <w:r>
        <w:rPr>
          <w:rFonts w:cs="Arial" w:ascii="Arial" w:hAnsi="Arial"/>
          <w:sz w:val="22"/>
          <w:szCs w:val="22"/>
        </w:rPr>
        <w:t xml:space="preserve">Obec v rámci služby pro výrobce nakládá s těmito výrobky s ukončenou životností: </w:t>
      </w:r>
    </w:p>
    <w:p>
      <w:pPr>
        <w:pStyle w:val="Normal"/>
        <w:ind w:left="720" w:hanging="0"/>
        <w:jc w:val="both"/>
        <w:rPr>
          <w:rFonts w:ascii="Arial" w:hAnsi="Arial" w:cs="Arial"/>
          <w:sz w:val="22"/>
          <w:szCs w:val="22"/>
        </w:rPr>
      </w:pPr>
      <w:r>
        <w:rPr>
          <w:rFonts w:cs="Arial" w:ascii="Arial" w:hAnsi="Arial"/>
          <w:sz w:val="22"/>
          <w:szCs w:val="22"/>
        </w:rPr>
      </w:r>
    </w:p>
    <w:p>
      <w:pPr>
        <w:pStyle w:val="Normal"/>
        <w:ind w:left="720" w:hanging="0"/>
        <w:jc w:val="both"/>
        <w:rPr/>
      </w:pPr>
      <w:r>
        <w:rPr>
          <w:rFonts w:cs="Arial" w:ascii="Arial" w:hAnsi="Arial"/>
          <w:sz w:val="22"/>
          <w:szCs w:val="22"/>
        </w:rPr>
        <w:t>- elektrozařízení</w:t>
      </w:r>
    </w:p>
    <w:p>
      <w:pPr>
        <w:pStyle w:val="Normal"/>
        <w:ind w:left="720" w:hanging="0"/>
        <w:jc w:val="both"/>
        <w:rPr>
          <w:rFonts w:ascii="Arial" w:hAnsi="Arial" w:cs="Arial"/>
          <w:sz w:val="22"/>
          <w:szCs w:val="22"/>
        </w:rPr>
      </w:pPr>
      <w:r>
        <w:rPr>
          <w:rFonts w:cs="Arial" w:ascii="Arial" w:hAnsi="Arial"/>
          <w:sz w:val="22"/>
          <w:szCs w:val="22"/>
        </w:rPr>
      </w:r>
    </w:p>
    <w:p>
      <w:pPr>
        <w:pStyle w:val="Normal"/>
        <w:tabs>
          <w:tab w:val="clear" w:pos="708"/>
          <w:tab w:val="left" w:pos="567" w:leader="none"/>
        </w:tabs>
        <w:ind w:left="567" w:hanging="282"/>
        <w:jc w:val="both"/>
        <w:rPr/>
      </w:pPr>
      <w:r>
        <w:rPr>
          <w:rFonts w:cs="Arial" w:ascii="Arial" w:hAnsi="Arial"/>
          <w:color w:val="00B0F0"/>
          <w:sz w:val="22"/>
          <w:szCs w:val="22"/>
        </w:rPr>
        <w:tab/>
      </w:r>
      <w:r>
        <w:rPr>
          <w:rFonts w:cs="Arial" w:ascii="Arial" w:hAnsi="Arial"/>
          <w:i/>
          <w:color w:val="00B0F0"/>
          <w:sz w:val="22"/>
          <w:szCs w:val="22"/>
        </w:rPr>
        <w:t xml:space="preserve"> </w:t>
      </w:r>
    </w:p>
    <w:p>
      <w:pPr>
        <w:pStyle w:val="Normal"/>
        <w:numPr>
          <w:ilvl w:val="0"/>
          <w:numId w:val="10"/>
        </w:numPr>
        <w:ind w:left="426" w:hanging="426"/>
        <w:jc w:val="both"/>
        <w:rPr/>
      </w:pPr>
      <w:r>
        <w:rPr>
          <w:rFonts w:cs="Arial" w:ascii="Arial" w:hAnsi="Arial"/>
          <w:sz w:val="22"/>
          <w:szCs w:val="22"/>
        </w:rPr>
        <w:t>Výrobky s ukončenou životností uvedené v odst. 1 lze předávat na sběrném dvoře za obecním úřadem, parcela č. 651.</w:t>
      </w:r>
    </w:p>
    <w:p>
      <w:pPr>
        <w:pStyle w:val="Normal"/>
        <w:numPr>
          <w:ilvl w:val="0"/>
          <w:numId w:val="0"/>
        </w:numPr>
        <w:ind w:left="720" w:hanging="0"/>
        <w:jc w:val="both"/>
        <w:rPr>
          <w:rFonts w:ascii="Arial" w:hAnsi="Arial" w:cs="Arial"/>
          <w:sz w:val="22"/>
          <w:szCs w:val="22"/>
        </w:rPr>
      </w:pPr>
      <w:r>
        <w:rPr>
          <w:rFonts w:cs="Arial" w:ascii="Arial" w:hAnsi="Arial"/>
          <w:sz w:val="22"/>
          <w:szCs w:val="22"/>
        </w:rPr>
      </w:r>
    </w:p>
    <w:p>
      <w:pPr>
        <w:pStyle w:val="Normal"/>
        <w:tabs>
          <w:tab w:val="clear" w:pos="708"/>
          <w:tab w:val="left" w:pos="709" w:leader="none"/>
        </w:tabs>
        <w:ind w:left="360" w:hanging="0"/>
        <w:jc w:val="both"/>
        <w:rPr>
          <w:rFonts w:ascii="Arial" w:hAnsi="Arial" w:cs="Arial"/>
          <w:sz w:val="22"/>
          <w:szCs w:val="22"/>
        </w:rPr>
      </w:pPr>
      <w:r>
        <w:rPr>
          <w:rFonts w:cs="Arial" w:ascii="Arial" w:hAnsi="Arial"/>
          <w:sz w:val="22"/>
          <w:szCs w:val="22"/>
        </w:rPr>
      </w:r>
    </w:p>
    <w:p>
      <w:pPr>
        <w:pStyle w:val="Normal"/>
        <w:jc w:val="center"/>
        <w:rPr/>
      </w:pPr>
      <w:r>
        <w:rPr>
          <w:rFonts w:cs="Arial" w:ascii="Arial" w:hAnsi="Arial"/>
          <w:b/>
          <w:sz w:val="22"/>
          <w:szCs w:val="22"/>
        </w:rPr>
        <w:t>Čl. 9</w:t>
      </w:r>
    </w:p>
    <w:p>
      <w:pPr>
        <w:pStyle w:val="Normal"/>
        <w:jc w:val="center"/>
        <w:rPr>
          <w:rFonts w:ascii="Arial" w:hAnsi="Arial" w:cs="Arial"/>
          <w:b/>
          <w:b/>
          <w:sz w:val="22"/>
          <w:szCs w:val="22"/>
        </w:rPr>
      </w:pPr>
      <w:r>
        <w:rPr>
          <w:rFonts w:cs="Arial" w:ascii="Arial" w:hAnsi="Arial"/>
          <w:b/>
          <w:sz w:val="22"/>
          <w:szCs w:val="22"/>
        </w:rPr>
        <w:t>Nakládání se stavebním a demoličním odpadem</w:t>
      </w:r>
    </w:p>
    <w:p>
      <w:pPr>
        <w:pStyle w:val="Nadpis2"/>
        <w:jc w:val="center"/>
        <w:rPr>
          <w:rFonts w:ascii="Arial" w:hAnsi="Arial" w:cs="Arial"/>
          <w:i/>
          <w:i/>
          <w:color w:val="00B0F0"/>
          <w:sz w:val="22"/>
          <w:szCs w:val="22"/>
        </w:rPr>
      </w:pPr>
      <w:r>
        <w:rPr>
          <w:rFonts w:cs="Arial" w:ascii="Arial" w:hAnsi="Arial"/>
          <w:i/>
          <w:color w:val="00B0F0"/>
          <w:sz w:val="22"/>
          <w:szCs w:val="22"/>
        </w:rPr>
      </w:r>
    </w:p>
    <w:p>
      <w:pPr>
        <w:pStyle w:val="Normal"/>
        <w:numPr>
          <w:ilvl w:val="0"/>
          <w:numId w:val="11"/>
        </w:numPr>
        <w:ind w:left="426" w:hanging="426"/>
        <w:jc w:val="both"/>
        <w:rPr>
          <w:rFonts w:ascii="Arial" w:hAnsi="Arial" w:cs="Arial"/>
          <w:sz w:val="22"/>
          <w:szCs w:val="22"/>
        </w:rPr>
      </w:pPr>
      <w:r>
        <w:rPr>
          <w:rFonts w:cs="Arial" w:ascii="Arial" w:hAnsi="Arial"/>
          <w:sz w:val="22"/>
          <w:szCs w:val="22"/>
        </w:rPr>
        <w:t xml:space="preserve">Stavebním odpadem a demoličním odpadem se rozumí odpad vznikající při stavebních </w:t>
        <w:br/>
        <w:t>a demoličních činnostech nepodnikajících fyzických osob. Stavební a demoliční odpad není odpadem komunálním.</w:t>
      </w:r>
    </w:p>
    <w:p>
      <w:pPr>
        <w:pStyle w:val="Normal"/>
        <w:ind w:left="426" w:hanging="0"/>
        <w:jc w:val="both"/>
        <w:rPr>
          <w:rFonts w:ascii="Arial" w:hAnsi="Arial" w:cs="Arial"/>
          <w:sz w:val="22"/>
          <w:szCs w:val="22"/>
        </w:rPr>
      </w:pPr>
      <w:r>
        <w:rPr>
          <w:rFonts w:cs="Arial" w:ascii="Arial" w:hAnsi="Arial"/>
          <w:sz w:val="22"/>
          <w:szCs w:val="22"/>
        </w:rPr>
      </w:r>
    </w:p>
    <w:p>
      <w:pPr>
        <w:pStyle w:val="Normal"/>
        <w:numPr>
          <w:ilvl w:val="0"/>
          <w:numId w:val="11"/>
        </w:numPr>
        <w:ind w:left="426" w:hanging="426"/>
        <w:jc w:val="both"/>
        <w:rPr/>
      </w:pPr>
      <w:r>
        <w:rPr>
          <w:rFonts w:cs="Arial" w:ascii="Arial" w:hAnsi="Arial"/>
          <w:sz w:val="22"/>
          <w:szCs w:val="22"/>
        </w:rPr>
        <w:t>Stavební a demoliční odpad lze předávat</w:t>
      </w:r>
      <w:r>
        <w:rPr>
          <w:rFonts w:cs="Arial" w:ascii="Arial" w:hAnsi="Arial"/>
          <w:i/>
          <w:iCs/>
          <w:sz w:val="22"/>
          <w:szCs w:val="22"/>
        </w:rPr>
        <w:t xml:space="preserve"> </w:t>
      </w:r>
      <w:r>
        <w:rPr>
          <w:rFonts w:cs="Arial" w:ascii="Arial" w:hAnsi="Arial"/>
          <w:i w:val="false"/>
          <w:iCs w:val="false"/>
          <w:sz w:val="22"/>
          <w:szCs w:val="22"/>
        </w:rPr>
        <w:t>na sběrném dvoře za obecním úřadem parcela č. 651.</w:t>
      </w:r>
    </w:p>
    <w:p>
      <w:pPr>
        <w:pStyle w:val="Normal"/>
        <w:ind w:left="426" w:hanging="0"/>
        <w:jc w:val="both"/>
        <w:rPr>
          <w:rFonts w:ascii="Arial" w:hAnsi="Arial" w:cs="Arial"/>
          <w:sz w:val="22"/>
          <w:szCs w:val="22"/>
          <w:highlight w:val="yellow"/>
        </w:rPr>
      </w:pPr>
      <w:r>
        <w:rPr>
          <w:rFonts w:cs="Arial" w:ascii="Arial" w:hAnsi="Arial"/>
          <w:sz w:val="22"/>
          <w:szCs w:val="22"/>
          <w:highlight w:val="yellow"/>
        </w:rPr>
      </w:r>
    </w:p>
    <w:p>
      <w:pPr>
        <w:pStyle w:val="Normal"/>
        <w:numPr>
          <w:ilvl w:val="0"/>
          <w:numId w:val="11"/>
        </w:numPr>
        <w:ind w:left="426" w:hanging="426"/>
        <w:jc w:val="both"/>
        <w:rPr/>
      </w:pPr>
      <w:r>
        <w:rPr>
          <w:rFonts w:cs="Arial" w:ascii="Arial" w:hAnsi="Arial"/>
          <w:sz w:val="22"/>
          <w:szCs w:val="22"/>
        </w:rPr>
        <w:t>Fyzické osoby mohou předávat stavební a demoliční odpad na určeném místě v omezeném množství z menších stavebních úprav neobsahující nebezpečné a zdraví škodlivé látky, např. azbest. Větší množství stavebního odpadu lze odevzdat ve sběrném dvoře RESPONO, a.s., který je umístěn ve Slavkově u Brna, Zlatá Hora 1469.</w:t>
      </w:r>
    </w:p>
    <w:p>
      <w:pPr>
        <w:pStyle w:val="Normal"/>
        <w:rPr>
          <w:rFonts w:ascii="Arial" w:hAnsi="Arial" w:cs="Arial"/>
          <w:b/>
          <w:b/>
          <w:sz w:val="22"/>
          <w:szCs w:val="22"/>
        </w:rPr>
      </w:pPr>
      <w:r>
        <w:rPr>
          <w:rFonts w:cs="Arial" w:ascii="Arial" w:hAnsi="Arial"/>
          <w:b/>
          <w:sz w:val="22"/>
          <w:szCs w:val="22"/>
        </w:rPr>
      </w:r>
    </w:p>
    <w:p>
      <w:pPr>
        <w:pStyle w:val="Normal"/>
        <w:jc w:val="center"/>
        <w:rPr>
          <w:rFonts w:ascii="Arial" w:hAnsi="Arial" w:cs="Arial"/>
          <w:b/>
          <w:b/>
          <w:sz w:val="22"/>
          <w:szCs w:val="22"/>
        </w:rPr>
      </w:pPr>
      <w:r>
        <w:rPr>
          <w:rFonts w:cs="Arial" w:ascii="Arial" w:hAnsi="Arial"/>
          <w:b/>
          <w:sz w:val="22"/>
          <w:szCs w:val="22"/>
        </w:rPr>
      </w:r>
    </w:p>
    <w:p>
      <w:pPr>
        <w:pStyle w:val="Slalnk"/>
        <w:spacing w:before="480" w:after="60"/>
        <w:rPr/>
      </w:pPr>
      <w:r>
        <w:rPr>
          <w:rFonts w:cs="Arial" w:ascii="Arial" w:hAnsi="Arial"/>
        </w:rPr>
        <w:t>Čl. 10</w:t>
      </w:r>
    </w:p>
    <w:p>
      <w:pPr>
        <w:pStyle w:val="Nzvylnk"/>
        <w:rPr>
          <w:sz w:val="22"/>
          <w:szCs w:val="22"/>
        </w:rPr>
      </w:pPr>
      <w:r>
        <w:rPr>
          <w:rFonts w:cs="Arial" w:ascii="Arial" w:hAnsi="Arial"/>
          <w:sz w:val="22"/>
          <w:szCs w:val="22"/>
        </w:rPr>
        <w:t>Zrušovací ustanovení</w:t>
      </w:r>
    </w:p>
    <w:p>
      <w:pPr>
        <w:pStyle w:val="Normal"/>
        <w:spacing w:lineRule="auto" w:line="288" w:before="120" w:after="0"/>
        <w:ind w:left="567" w:hanging="0"/>
        <w:jc w:val="both"/>
        <w:rPr>
          <w:b w:val="false"/>
          <w:b w:val="false"/>
          <w:bCs w:val="false"/>
          <w:sz w:val="22"/>
          <w:szCs w:val="22"/>
        </w:rPr>
      </w:pPr>
      <w:bookmarkStart w:id="1" w:name="_Hlk54595723"/>
      <w:r>
        <w:rPr>
          <w:rFonts w:cs="Arial" w:ascii="Arial" w:hAnsi="Arial"/>
          <w:b w:val="false"/>
          <w:bCs w:val="false"/>
          <w:sz w:val="22"/>
          <w:szCs w:val="22"/>
        </w:rPr>
        <w:t>Zrušuje se Obecně závazná vyhláška</w:t>
      </w:r>
      <w:bookmarkEnd w:id="1"/>
      <w:r>
        <w:rPr>
          <w:rFonts w:cs="Arial" w:ascii="Arial" w:hAnsi="Arial"/>
          <w:b w:val="false"/>
          <w:bCs w:val="false"/>
          <w:sz w:val="22"/>
          <w:szCs w:val="22"/>
        </w:rPr>
        <w:t xml:space="preserve"> obce</w:t>
      </w:r>
      <w:r>
        <w:rPr>
          <w:rFonts w:cs="Arial" w:ascii="Arial" w:hAnsi="Arial"/>
          <w:b w:val="false"/>
          <w:bCs w:val="false"/>
          <w:i/>
          <w:sz w:val="22"/>
          <w:szCs w:val="22"/>
        </w:rPr>
        <w:t xml:space="preserve"> o </w:t>
      </w:r>
      <w:r>
        <w:rPr>
          <w:rFonts w:eastAsia="Times New Roman" w:cs="Arial" w:ascii="Arial" w:hAnsi="Arial"/>
          <w:b w:val="false"/>
          <w:bCs w:val="false"/>
          <w:i/>
          <w:color w:val="auto"/>
          <w:kern w:val="0"/>
          <w:sz w:val="22"/>
          <w:szCs w:val="22"/>
          <w:lang w:val="cs-CZ" w:eastAsia="cs-CZ" w:bidi="ar-SA"/>
        </w:rPr>
        <w:t>stanovení obecního systému odpadového hospodářství</w:t>
      </w:r>
      <w:r>
        <w:rPr>
          <w:rFonts w:cs="Arial" w:ascii="Arial" w:hAnsi="Arial"/>
          <w:b w:val="false"/>
          <w:bCs w:val="false"/>
          <w:sz w:val="22"/>
          <w:szCs w:val="22"/>
        </w:rPr>
        <w:t xml:space="preserve"> 2/2022 ze dne</w:t>
      </w:r>
      <w:r>
        <w:rPr>
          <w:rFonts w:cs="Arial" w:ascii="Arial" w:hAnsi="Arial"/>
          <w:b w:val="false"/>
          <w:bCs w:val="false"/>
          <w:i/>
          <w:sz w:val="22"/>
          <w:szCs w:val="22"/>
        </w:rPr>
        <w:t xml:space="preserve"> 28. 12. 2022.</w:t>
      </w:r>
    </w:p>
    <w:p>
      <w:pPr>
        <w:pStyle w:val="Normal"/>
        <w:jc w:val="center"/>
        <w:rPr>
          <w:rFonts w:ascii="Arial" w:hAnsi="Arial" w:cs="Arial"/>
          <w:b/>
          <w:b/>
          <w:sz w:val="22"/>
          <w:szCs w:val="22"/>
        </w:rPr>
      </w:pPr>
      <w:r>
        <w:rPr>
          <w:rFonts w:cs="Arial" w:ascii="Arial" w:hAnsi="Arial"/>
          <w:b/>
          <w:sz w:val="22"/>
          <w:szCs w:val="22"/>
        </w:rPr>
      </w:r>
    </w:p>
    <w:p>
      <w:pPr>
        <w:pStyle w:val="Normal"/>
        <w:jc w:val="center"/>
        <w:rPr/>
      </w:pPr>
      <w:r>
        <w:rPr>
          <w:rFonts w:cs="Arial" w:ascii="Arial" w:hAnsi="Arial"/>
          <w:b/>
          <w:sz w:val="22"/>
          <w:szCs w:val="22"/>
        </w:rPr>
        <w:t>Čl. 11</w:t>
      </w:r>
    </w:p>
    <w:p>
      <w:pPr>
        <w:pStyle w:val="Nzvylnk"/>
        <w:spacing w:before="0" w:after="0"/>
        <w:rPr>
          <w:rFonts w:ascii="Arial" w:hAnsi="Arial" w:cs="Arial"/>
          <w:sz w:val="22"/>
          <w:szCs w:val="22"/>
        </w:rPr>
      </w:pPr>
      <w:r>
        <w:rPr>
          <w:rFonts w:cs="Arial" w:ascii="Arial" w:hAnsi="Arial"/>
          <w:sz w:val="22"/>
          <w:szCs w:val="22"/>
        </w:rPr>
        <w:t>Účinnost</w:t>
      </w:r>
    </w:p>
    <w:p>
      <w:pPr>
        <w:pStyle w:val="Normal"/>
        <w:jc w:val="center"/>
        <w:rPr>
          <w:rFonts w:ascii="Arial" w:hAnsi="Arial" w:cs="Arial"/>
          <w:b/>
          <w:b/>
          <w:sz w:val="22"/>
          <w:szCs w:val="22"/>
        </w:rPr>
      </w:pPr>
      <w:r>
        <w:rPr>
          <w:rFonts w:cs="Arial" w:ascii="Arial" w:hAnsi="Arial"/>
          <w:b/>
          <w:sz w:val="22"/>
          <w:szCs w:val="22"/>
        </w:rPr>
      </w:r>
    </w:p>
    <w:p>
      <w:pPr>
        <w:pStyle w:val="Normal"/>
        <w:ind w:hanging="0"/>
        <w:jc w:val="both"/>
        <w:rPr/>
      </w:pPr>
      <w:r>
        <w:rPr>
          <w:rFonts w:cs="Arial" w:ascii="Arial" w:hAnsi="Arial"/>
          <w:sz w:val="22"/>
          <w:szCs w:val="22"/>
        </w:rPr>
        <w:t xml:space="preserve">                                </w:t>
      </w:r>
      <w:r>
        <w:rPr>
          <w:rFonts w:cs="Arial" w:ascii="Arial" w:hAnsi="Arial"/>
          <w:sz w:val="22"/>
          <w:szCs w:val="22"/>
        </w:rPr>
        <w:t xml:space="preserve">Tato vyhláška nabývá účinnosti dnem 1. 1. 2025. </w:t>
      </w:r>
    </w:p>
    <w:p>
      <w:pPr>
        <w:pStyle w:val="Nzvylnk"/>
        <w:spacing w:before="0" w:after="0"/>
        <w:jc w:val="left"/>
        <w:rPr>
          <w:rFonts w:ascii="Arial" w:hAnsi="Arial" w:cs="Arial"/>
          <w:b w:val="false"/>
          <w:b w:val="false"/>
          <w:bCs w:val="false"/>
          <w:i/>
          <w:i/>
          <w:color w:val="1A4BD6"/>
          <w:sz w:val="22"/>
          <w:szCs w:val="22"/>
        </w:rPr>
      </w:pPr>
      <w:r>
        <w:rPr>
          <w:rFonts w:cs="Arial" w:ascii="Arial" w:hAnsi="Arial"/>
          <w:b w:val="false"/>
          <w:bCs w:val="false"/>
          <w:i/>
          <w:color w:val="1A4BD6"/>
          <w:sz w:val="22"/>
          <w:szCs w:val="22"/>
        </w:rPr>
      </w:r>
    </w:p>
    <w:p>
      <w:pPr>
        <w:pStyle w:val="Normal"/>
        <w:ind w:hanging="0"/>
        <w:rPr>
          <w:rFonts w:ascii="Arial" w:hAnsi="Arial" w:cs="Arial"/>
          <w:bCs/>
          <w:i/>
          <w:i/>
          <w:sz w:val="22"/>
          <w:szCs w:val="22"/>
        </w:rPr>
      </w:pPr>
      <w:r>
        <w:rPr>
          <w:rFonts w:cs="Arial" w:ascii="Arial" w:hAnsi="Arial"/>
          <w:bCs/>
          <w:i/>
          <w:sz w:val="22"/>
          <w:szCs w:val="22"/>
        </w:rPr>
      </w:r>
    </w:p>
    <w:p>
      <w:pPr>
        <w:pStyle w:val="Normal"/>
        <w:ind w:hanging="0"/>
        <w:rPr/>
      </w:pPr>
      <w:r>
        <w:rPr>
          <w:rFonts w:cs="Arial" w:ascii="Arial" w:hAnsi="Arial"/>
          <w:bCs/>
          <w:i/>
          <w:sz w:val="22"/>
          <w:szCs w:val="22"/>
        </w:rPr>
        <w:t xml:space="preserve"> </w:t>
      </w:r>
      <w:r>
        <w:rPr>
          <w:rFonts w:cs="Arial" w:ascii="Arial" w:hAnsi="Arial"/>
          <w:bCs/>
          <w:i/>
          <w:sz w:val="22"/>
          <w:szCs w:val="22"/>
        </w:rPr>
        <w:tab/>
        <w:tab/>
        <w:tab/>
        <w:tab/>
        <w:tab/>
        <w:tab/>
        <w:tab/>
        <w:tab/>
      </w:r>
    </w:p>
    <w:p>
      <w:pPr>
        <w:pStyle w:val="Normal"/>
        <w:ind w:left="708" w:hanging="0"/>
        <w:rPr/>
      </w:pPr>
      <w:r>
        <w:rPr>
          <w:rFonts w:cs="Arial" w:ascii="Arial" w:hAnsi="Arial"/>
          <w:bCs/>
          <w:sz w:val="22"/>
          <w:szCs w:val="22"/>
        </w:rPr>
        <w:t>………………</w:t>
      </w:r>
      <w:r>
        <w:rPr>
          <w:rFonts w:cs="Arial" w:ascii="Arial" w:hAnsi="Arial"/>
          <w:bCs/>
          <w:sz w:val="22"/>
          <w:szCs w:val="22"/>
        </w:rPr>
        <w:t>...……………….</w:t>
        <w:tab/>
        <w:tab/>
        <w:tab/>
        <w:t xml:space="preserve">              ………………………..</w:t>
      </w:r>
    </w:p>
    <w:p>
      <w:pPr>
        <w:pStyle w:val="Normal"/>
        <w:ind w:firstLine="708"/>
        <w:rPr/>
      </w:pPr>
      <w:r>
        <w:rPr>
          <w:rFonts w:eastAsia="Times New Roman" w:cs="Arial" w:ascii="Arial" w:hAnsi="Arial"/>
          <w:bCs/>
          <w:i/>
          <w:color w:val="auto"/>
          <w:kern w:val="0"/>
          <w:sz w:val="22"/>
          <w:szCs w:val="22"/>
          <w:lang w:val="cs-CZ" w:eastAsia="cs-CZ" w:bidi="ar-SA"/>
        </w:rPr>
        <w:t>Mgr. Lenka Záleská</w:t>
      </w:r>
      <w:r>
        <w:rPr>
          <w:rFonts w:cs="Arial" w:ascii="Arial" w:hAnsi="Arial"/>
          <w:bCs/>
          <w:i/>
          <w:sz w:val="22"/>
          <w:szCs w:val="22"/>
        </w:rPr>
        <w:tab/>
      </w:r>
      <w:r>
        <w:rPr>
          <w:rFonts w:cs="Arial" w:ascii="Arial" w:hAnsi="Arial"/>
          <w:bCs/>
          <w:sz w:val="22"/>
          <w:szCs w:val="22"/>
        </w:rPr>
        <w:tab/>
        <w:tab/>
        <w:tab/>
      </w:r>
      <w:bookmarkStart w:id="2" w:name="_GoBack"/>
      <w:bookmarkEnd w:id="2"/>
      <w:r>
        <w:rPr>
          <w:rFonts w:cs="Arial" w:ascii="Arial" w:hAnsi="Arial"/>
          <w:bCs/>
          <w:sz w:val="22"/>
          <w:szCs w:val="22"/>
        </w:rPr>
        <w:tab/>
        <w:t xml:space="preserve">           </w:t>
      </w:r>
      <w:r>
        <w:rPr>
          <w:rFonts w:eastAsia="Times New Roman" w:cs="Arial" w:ascii="Arial" w:hAnsi="Arial"/>
          <w:bCs/>
          <w:i/>
          <w:color w:val="auto"/>
          <w:kern w:val="0"/>
          <w:sz w:val="22"/>
          <w:szCs w:val="22"/>
          <w:lang w:val="cs-CZ" w:eastAsia="cs-CZ" w:bidi="ar-SA"/>
        </w:rPr>
        <w:t>Blahoslava Suchánková</w:t>
      </w:r>
    </w:p>
    <w:p>
      <w:pPr>
        <w:pStyle w:val="Normal"/>
        <w:ind w:left="708" w:hanging="0"/>
        <w:rPr/>
      </w:pPr>
      <w:r>
        <w:rPr>
          <w:rFonts w:cs="Arial" w:ascii="Arial" w:hAnsi="Arial"/>
          <w:bCs/>
          <w:sz w:val="22"/>
          <w:szCs w:val="22"/>
        </w:rPr>
        <w:t>místostarostka</w:t>
        <w:tab/>
        <w:tab/>
        <w:tab/>
        <w:tab/>
        <w:tab/>
        <w:tab/>
        <w:tab/>
        <w:t>starostka</w:t>
      </w:r>
    </w:p>
    <w:sectPr>
      <w:footerReference w:type="default" r:id="rId2"/>
      <w:footnotePr>
        <w:numFmt w:val="decimal"/>
      </w:footnotePr>
      <w:type w:val="nextPage"/>
      <w:pgSz w:w="11906" w:h="16838"/>
      <w:pgMar w:left="1418" w:right="1418" w:header="0" w:top="1418" w:footer="709" w:bottom="1985" w:gutter="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ee"/>
    <w:family w:val="roman"/>
    <w:pitch w:val="variable"/>
  </w:font>
  <w:font w:name="Times New Roman">
    <w:charset w:val="ee"/>
    <w:family w:val="roman"/>
    <w:pitch w:val="variable"/>
  </w:font>
  <w:font w:name="Calibri Light">
    <w:charset w:val="ee"/>
    <w:family w:val="roman"/>
    <w:pitch w:val="variable"/>
  </w:font>
  <w:font w:name="Liberation Sans">
    <w:altName w:val="Arial"/>
    <w:charset w:val="ee"/>
    <w:family w:val="roman"/>
    <w:pitch w:val="variable"/>
  </w:font>
  <w:font w:name="Tahoma">
    <w:charset w:val="ee"/>
    <w:family w:val="roman"/>
    <w:pitch w:val="variable"/>
  </w:font>
  <w:font w:name="Calibri">
    <w:charset w:val="ee"/>
    <w:family w:val="roman"/>
    <w:pitch w:val="variable"/>
  </w:font>
  <w:font w:name="Arial">
    <w:charset w:val="ee"/>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Zpat"/>
      <w:jc w:val="center"/>
      <w:rPr/>
    </w:pPr>
    <w:r>
      <w:rPr/>
      <w:fldChar w:fldCharType="begin"/>
    </w:r>
    <w:r>
      <w:rPr/>
      <w:instrText> PAGE </w:instrText>
    </w:r>
    <w:r>
      <w:rPr/>
      <w:fldChar w:fldCharType="separate"/>
    </w:r>
    <w:r>
      <w:rPr/>
      <w:t>4</w:t>
    </w:r>
    <w:r>
      <w:rPr/>
      <w:fldChar w:fldCharType="end"/>
    </w:r>
  </w:p>
  <w:p>
    <w:pPr>
      <w:pStyle w:val="Zpat"/>
      <w:rPr/>
    </w:pPr>
    <w:r>
      <w:rPr/>
    </w:r>
  </w:p>
</w:ftr>
</file>

<file path=word/footnotes.xml><?xml version="1.0" encoding="utf-8"?>
<w:footnotes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footnote w:id="0" w:type="separator">
    <w:p>
      <w:pPr>
        <w:rPr>
          <w:sz w:val="12"/>
        </w:rPr>
      </w:pPr>
      <w:r>
        <w:separator/>
      </w:r>
    </w:p>
  </w:footnote>
  <w:footnote w:id="1" w:type="continuationSeparator">
    <w:p>
      <w:pPr>
        <w:rPr>
          <w:sz w:val="12"/>
        </w:rPr>
      </w:pPr>
      <w:r>
        <w:continuationSeparator/>
      </w:r>
    </w:p>
  </w:footnote>
  <w:footnote w:id="2">
    <w:p>
      <w:pPr>
        <w:pStyle w:val="Poznmkapodarou"/>
        <w:rPr/>
      </w:pPr>
      <w:r>
        <w:rPr>
          <w:rStyle w:val="Znakypropoznmkupodarou"/>
        </w:rPr>
        <w:footnoteRef/>
      </w:r>
      <w:r>
        <w:rPr>
          <w:rFonts w:cs="Arial" w:ascii="Arial" w:hAnsi="Arial"/>
        </w:rPr>
        <w:t xml:space="preserve"> </w:t>
      </w:r>
      <w:r>
        <w:rPr>
          <w:rFonts w:cs="Arial" w:ascii="Arial" w:hAnsi="Arial"/>
        </w:rPr>
        <w:t>§ 61 zákona o odpadech</w:t>
      </w:r>
    </w:p>
  </w:footnote>
  <w:footnote w:id="3">
    <w:p>
      <w:pPr>
        <w:pStyle w:val="Poznmkapodarou"/>
        <w:rPr/>
      </w:pPr>
      <w:r>
        <w:rPr>
          <w:rStyle w:val="Znakypropoznmkupodarou"/>
        </w:rPr>
        <w:footnoteRef/>
      </w:r>
      <w:r>
        <w:rPr>
          <w:rFonts w:cs="Arial" w:ascii="Arial" w:hAnsi="Arial"/>
        </w:rPr>
        <w:t xml:space="preserve"> </w:t>
      </w:r>
      <w:r>
        <w:rPr>
          <w:rFonts w:cs="Arial" w:ascii="Arial" w:hAnsi="Arial"/>
        </w:rPr>
        <w:t>§ 60 zákona o odpadech</w:t>
      </w:r>
    </w:p>
  </w:footnote>
</w:footnote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lowerLetter"/>
      <w:lvlText w:val="%1)"/>
      <w:lvlJc w:val="left"/>
      <w:pPr>
        <w:tabs>
          <w:tab w:val="num" w:pos="360"/>
        </w:tabs>
        <w:ind w:left="360" w:hanging="360"/>
      </w:pPr>
      <w:rPr>
        <w:sz w:val="22"/>
        <w:rFonts w:eastAsia="Times New Roman" w:cs="Arial"/>
        <w:color w:val="auto"/>
      </w:r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2">
    <w:lvl w:ilvl="0">
      <w:start w:val="1"/>
      <w:numFmt w:val="decimal"/>
      <w:lvlText w:val="%1)"/>
      <w:lvlJc w:val="left"/>
      <w:pPr>
        <w:tabs>
          <w:tab w:val="num" w:pos="360"/>
        </w:tabs>
        <w:ind w:left="360" w:hanging="360"/>
      </w:pPr>
      <w:rPr>
        <w:sz w:val="22"/>
        <w:u w:val="none"/>
        <w:b w:val="false"/>
        <w:rFonts w:ascii="Arial" w:hAnsi="Arial"/>
      </w:r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3">
    <w:lvl w:ilvl="0">
      <w:start w:val="1"/>
      <w:numFmt w:val="decimal"/>
      <w:lvlText w:val="%1)"/>
      <w:lvlJc w:val="left"/>
      <w:pPr>
        <w:tabs>
          <w:tab w:val="num" w:pos="360"/>
        </w:tabs>
        <w:ind w:left="360" w:hanging="360"/>
      </w:pPr>
      <w:rPr>
        <w:sz w:val="22"/>
        <w:rFonts w:ascii="Arial" w:hAnsi="Arial"/>
        <w:color w:val="auto"/>
      </w:r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4">
    <w:lvl w:ilvl="0">
      <w:start w:val="1"/>
      <w:numFmt w:val="lowerLetter"/>
      <w:lvlText w:val="%1)"/>
      <w:lvlJc w:val="left"/>
      <w:pPr>
        <w:tabs>
          <w:tab w:val="num" w:pos="0"/>
        </w:tabs>
        <w:ind w:left="786" w:hanging="360"/>
      </w:pPr>
      <w:rPr>
        <w:sz w:val="22"/>
        <w:b/>
        <w:rFonts w:ascii="Arial" w:hAnsi="Arial" w:eastAsia="Times New Roman" w:cs="Times New Roman"/>
      </w:rPr>
    </w:lvl>
    <w:lvl w:ilvl="1">
      <w:start w:val="1"/>
      <w:numFmt w:val="lowerLetter"/>
      <w:lvlText w:val="%2."/>
      <w:lvlJc w:val="left"/>
      <w:pPr>
        <w:tabs>
          <w:tab w:val="num" w:pos="0"/>
        </w:tabs>
        <w:ind w:left="1506" w:hanging="360"/>
      </w:pPr>
      <w:rPr>
        <w:rFonts w:cs="Times New Roman"/>
      </w:rPr>
    </w:lvl>
    <w:lvl w:ilvl="2">
      <w:start w:val="1"/>
      <w:numFmt w:val="lowerRoman"/>
      <w:lvlText w:val="%3."/>
      <w:lvlJc w:val="right"/>
      <w:pPr>
        <w:tabs>
          <w:tab w:val="num" w:pos="0"/>
        </w:tabs>
        <w:ind w:left="2226" w:hanging="180"/>
      </w:pPr>
      <w:rPr>
        <w:rFonts w:cs="Times New Roman"/>
      </w:rPr>
    </w:lvl>
    <w:lvl w:ilvl="3">
      <w:start w:val="1"/>
      <w:numFmt w:val="decimal"/>
      <w:lvlText w:val="%4."/>
      <w:lvlJc w:val="left"/>
      <w:pPr>
        <w:tabs>
          <w:tab w:val="num" w:pos="0"/>
        </w:tabs>
        <w:ind w:left="2946" w:hanging="360"/>
      </w:pPr>
      <w:rPr>
        <w:rFonts w:cs="Times New Roman"/>
      </w:rPr>
    </w:lvl>
    <w:lvl w:ilvl="4">
      <w:start w:val="1"/>
      <w:numFmt w:val="lowerLetter"/>
      <w:lvlText w:val="%5."/>
      <w:lvlJc w:val="left"/>
      <w:pPr>
        <w:tabs>
          <w:tab w:val="num" w:pos="0"/>
        </w:tabs>
        <w:ind w:left="3666" w:hanging="360"/>
      </w:pPr>
      <w:rPr>
        <w:rFonts w:cs="Times New Roman"/>
      </w:rPr>
    </w:lvl>
    <w:lvl w:ilvl="5">
      <w:start w:val="1"/>
      <w:numFmt w:val="lowerRoman"/>
      <w:lvlText w:val="%6."/>
      <w:lvlJc w:val="right"/>
      <w:pPr>
        <w:tabs>
          <w:tab w:val="num" w:pos="0"/>
        </w:tabs>
        <w:ind w:left="4386" w:hanging="180"/>
      </w:pPr>
      <w:rPr>
        <w:rFonts w:cs="Times New Roman"/>
      </w:rPr>
    </w:lvl>
    <w:lvl w:ilvl="6">
      <w:start w:val="1"/>
      <w:numFmt w:val="decimal"/>
      <w:lvlText w:val="%7."/>
      <w:lvlJc w:val="left"/>
      <w:pPr>
        <w:tabs>
          <w:tab w:val="num" w:pos="0"/>
        </w:tabs>
        <w:ind w:left="5106" w:hanging="360"/>
      </w:pPr>
      <w:rPr>
        <w:rFonts w:cs="Times New Roman"/>
      </w:rPr>
    </w:lvl>
    <w:lvl w:ilvl="7">
      <w:start w:val="1"/>
      <w:numFmt w:val="lowerLetter"/>
      <w:lvlText w:val="%8."/>
      <w:lvlJc w:val="left"/>
      <w:pPr>
        <w:tabs>
          <w:tab w:val="num" w:pos="0"/>
        </w:tabs>
        <w:ind w:left="5826" w:hanging="360"/>
      </w:pPr>
      <w:rPr>
        <w:rFonts w:cs="Times New Roman"/>
      </w:rPr>
    </w:lvl>
    <w:lvl w:ilvl="8">
      <w:start w:val="1"/>
      <w:numFmt w:val="lowerRoman"/>
      <w:lvlText w:val="%9."/>
      <w:lvlJc w:val="right"/>
      <w:pPr>
        <w:tabs>
          <w:tab w:val="num" w:pos="0"/>
        </w:tabs>
        <w:ind w:left="6546" w:hanging="180"/>
      </w:pPr>
      <w:rPr>
        <w:rFonts w:cs="Times New Roman"/>
      </w:rPr>
    </w:lvl>
  </w:abstractNum>
  <w:abstractNum w:abstractNumId="5">
    <w:lvl w:ilvl="0">
      <w:start w:val="1"/>
      <w:numFmt w:val="decimal"/>
      <w:lvlText w:val="%1)"/>
      <w:lvlJc w:val="left"/>
      <w:pPr>
        <w:tabs>
          <w:tab w:val="num" w:pos="0"/>
        </w:tabs>
        <w:ind w:left="360" w:hanging="360"/>
      </w:pPr>
      <w:rPr>
        <w:sz w:val="22"/>
        <w:i w:val="false"/>
        <w:rFonts w:ascii="Arial" w:hAnsi="Arial"/>
      </w:rPr>
    </w:lvl>
    <w:lvl w:ilvl="1">
      <w:start w:val="1"/>
      <w:numFmt w:val="lowerLetter"/>
      <w:lvlText w:val="%2."/>
      <w:lvlJc w:val="left"/>
      <w:pPr>
        <w:tabs>
          <w:tab w:val="num" w:pos="0"/>
        </w:tabs>
        <w:ind w:left="1080" w:hanging="360"/>
      </w:pPr>
    </w:lvl>
    <w:lvl w:ilvl="2">
      <w:start w:val="1"/>
      <w:numFmt w:val="lowerRoman"/>
      <w:lvlText w:val="%3."/>
      <w:lvlJc w:val="right"/>
      <w:pPr>
        <w:tabs>
          <w:tab w:val="num" w:pos="0"/>
        </w:tabs>
        <w:ind w:left="1800" w:hanging="180"/>
      </w:pPr>
    </w:lvl>
    <w:lvl w:ilvl="3">
      <w:start w:val="1"/>
      <w:numFmt w:val="decimal"/>
      <w:lvlText w:val="%4."/>
      <w:lvlJc w:val="left"/>
      <w:pPr>
        <w:tabs>
          <w:tab w:val="num" w:pos="0"/>
        </w:tabs>
        <w:ind w:left="2520" w:hanging="360"/>
      </w:pPr>
    </w:lvl>
    <w:lvl w:ilvl="4">
      <w:start w:val="1"/>
      <w:numFmt w:val="lowerLetter"/>
      <w:lvlText w:val="%5."/>
      <w:lvlJc w:val="left"/>
      <w:pPr>
        <w:tabs>
          <w:tab w:val="num" w:pos="0"/>
        </w:tabs>
        <w:ind w:left="3240" w:hanging="360"/>
      </w:pPr>
    </w:lvl>
    <w:lvl w:ilvl="5">
      <w:start w:val="1"/>
      <w:numFmt w:val="lowerRoman"/>
      <w:lvlText w:val="%6."/>
      <w:lvlJc w:val="right"/>
      <w:pPr>
        <w:tabs>
          <w:tab w:val="num" w:pos="0"/>
        </w:tabs>
        <w:ind w:left="3960" w:hanging="180"/>
      </w:pPr>
    </w:lvl>
    <w:lvl w:ilvl="6">
      <w:start w:val="1"/>
      <w:numFmt w:val="decimal"/>
      <w:lvlText w:val="%7."/>
      <w:lvlJc w:val="left"/>
      <w:pPr>
        <w:tabs>
          <w:tab w:val="num" w:pos="0"/>
        </w:tabs>
        <w:ind w:left="4680" w:hanging="360"/>
      </w:pPr>
    </w:lvl>
    <w:lvl w:ilvl="7">
      <w:start w:val="1"/>
      <w:numFmt w:val="lowerLetter"/>
      <w:lvlText w:val="%8."/>
      <w:lvlJc w:val="left"/>
      <w:pPr>
        <w:tabs>
          <w:tab w:val="num" w:pos="0"/>
        </w:tabs>
        <w:ind w:left="5400" w:hanging="360"/>
      </w:pPr>
    </w:lvl>
    <w:lvl w:ilvl="8">
      <w:start w:val="1"/>
      <w:numFmt w:val="lowerRoman"/>
      <w:lvlText w:val="%9."/>
      <w:lvlJc w:val="right"/>
      <w:pPr>
        <w:tabs>
          <w:tab w:val="num" w:pos="0"/>
        </w:tabs>
        <w:ind w:left="6120" w:hanging="180"/>
      </w:pPr>
    </w:lvl>
  </w:abstractNum>
  <w:abstractNum w:abstractNumId="6">
    <w:lvl w:ilvl="0">
      <w:start w:val="1"/>
      <w:numFmt w:val="decimal"/>
      <w:lvlText w:val="%1)"/>
      <w:lvlJc w:val="left"/>
      <w:pPr>
        <w:tabs>
          <w:tab w:val="num" w:pos="0"/>
        </w:tabs>
        <w:ind w:left="360" w:hanging="360"/>
      </w:pPr>
    </w:lvl>
    <w:lvl w:ilvl="1">
      <w:start w:val="1"/>
      <w:numFmt w:val="lowerLetter"/>
      <w:lvlText w:val="%2."/>
      <w:lvlJc w:val="left"/>
      <w:pPr>
        <w:tabs>
          <w:tab w:val="num" w:pos="0"/>
        </w:tabs>
        <w:ind w:left="1080" w:hanging="360"/>
      </w:pPr>
    </w:lvl>
    <w:lvl w:ilvl="2">
      <w:start w:val="1"/>
      <w:numFmt w:val="lowerRoman"/>
      <w:lvlText w:val="%3."/>
      <w:lvlJc w:val="right"/>
      <w:pPr>
        <w:tabs>
          <w:tab w:val="num" w:pos="0"/>
        </w:tabs>
        <w:ind w:left="1800" w:hanging="180"/>
      </w:pPr>
    </w:lvl>
    <w:lvl w:ilvl="3">
      <w:start w:val="1"/>
      <w:numFmt w:val="decimal"/>
      <w:lvlText w:val="%4."/>
      <w:lvlJc w:val="left"/>
      <w:pPr>
        <w:tabs>
          <w:tab w:val="num" w:pos="0"/>
        </w:tabs>
        <w:ind w:left="2520" w:hanging="360"/>
      </w:pPr>
    </w:lvl>
    <w:lvl w:ilvl="4">
      <w:start w:val="1"/>
      <w:numFmt w:val="lowerLetter"/>
      <w:lvlText w:val="%5."/>
      <w:lvlJc w:val="left"/>
      <w:pPr>
        <w:tabs>
          <w:tab w:val="num" w:pos="0"/>
        </w:tabs>
        <w:ind w:left="3240" w:hanging="360"/>
      </w:pPr>
    </w:lvl>
    <w:lvl w:ilvl="5">
      <w:start w:val="1"/>
      <w:numFmt w:val="lowerRoman"/>
      <w:lvlText w:val="%6."/>
      <w:lvlJc w:val="right"/>
      <w:pPr>
        <w:tabs>
          <w:tab w:val="num" w:pos="0"/>
        </w:tabs>
        <w:ind w:left="3960" w:hanging="180"/>
      </w:pPr>
    </w:lvl>
    <w:lvl w:ilvl="6">
      <w:start w:val="1"/>
      <w:numFmt w:val="decimal"/>
      <w:lvlText w:val="%7."/>
      <w:lvlJc w:val="left"/>
      <w:pPr>
        <w:tabs>
          <w:tab w:val="num" w:pos="0"/>
        </w:tabs>
        <w:ind w:left="4680" w:hanging="360"/>
      </w:pPr>
    </w:lvl>
    <w:lvl w:ilvl="7">
      <w:start w:val="1"/>
      <w:numFmt w:val="lowerLetter"/>
      <w:lvlText w:val="%8."/>
      <w:lvlJc w:val="left"/>
      <w:pPr>
        <w:tabs>
          <w:tab w:val="num" w:pos="0"/>
        </w:tabs>
        <w:ind w:left="5400" w:hanging="360"/>
      </w:pPr>
    </w:lvl>
    <w:lvl w:ilvl="8">
      <w:start w:val="1"/>
      <w:numFmt w:val="lowerRoman"/>
      <w:lvlText w:val="%9."/>
      <w:lvlJc w:val="right"/>
      <w:pPr>
        <w:tabs>
          <w:tab w:val="num" w:pos="0"/>
        </w:tabs>
        <w:ind w:left="6120" w:hanging="180"/>
      </w:pPr>
    </w:lvl>
  </w:abstractNum>
  <w:abstractNum w:abstractNumId="7">
    <w:lvl w:ilvl="0">
      <w:start w:val="1"/>
      <w:numFmt w:val="lowerLetter"/>
      <w:lvlText w:val="%1)"/>
      <w:lvlJc w:val="left"/>
      <w:pPr>
        <w:tabs>
          <w:tab w:val="num" w:pos="0"/>
        </w:tabs>
        <w:ind w:left="720" w:hanging="360"/>
      </w:pPr>
      <w:rPr>
        <w:sz w:val="22"/>
        <w:b w:val="false"/>
        <w:bCs w:val="false"/>
        <w:color w:val="auto"/>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8">
    <w:lvl w:ilvl="0">
      <w:start w:val="1"/>
      <w:numFmt w:val="decimal"/>
      <w:lvlText w:val="%1)"/>
      <w:lvlJc w:val="left"/>
      <w:pPr>
        <w:tabs>
          <w:tab w:val="num" w:pos="0"/>
        </w:tabs>
        <w:ind w:left="720" w:hanging="360"/>
      </w:pPr>
      <w:rPr>
        <w:sz w:val="22"/>
        <w:rFonts w:ascii="Arial" w:hAnsi="Arial"/>
        <w:color w:val="000000"/>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9">
    <w:lvl w:ilvl="0">
      <w:start w:val="1"/>
      <w:numFmt w:val="decimal"/>
      <w:lvlText w:val="%1)"/>
      <w:lvlJc w:val="left"/>
      <w:pPr>
        <w:tabs>
          <w:tab w:val="num" w:pos="0"/>
        </w:tabs>
        <w:ind w:left="720" w:hanging="360"/>
      </w:pPr>
      <w:rPr>
        <w:dstrike w:val="false"/>
        <w:strike w:val="false"/>
        <w:sz w:val="22"/>
        <w:color w:val="auto"/>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0">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1">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2">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bering>
</file>

<file path=word/settings.xml><?xml version="1.0" encoding="utf-8"?>
<w:settings xmlns:w="http://schemas.openxmlformats.org/wordprocessingml/2006/main">
  <w:zoom w:percent="100"/>
  <w:embedSystemFonts/>
  <w:defaultTabStop w:val="708"/>
  <w:autoHyphenation w:val="true"/>
  <w:footnotePr>
    <w:numFmt w:val="decimal"/>
    <w:footnote w:id="0"/>
    <w:footnote w:id="1"/>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themeFontLang w:val="cs-CZ"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Times New Roman" w:cs="Times New Roman"/>
        <w:lang w:val="cs-CZ" w:eastAsia="cs-CZ" w:bidi="ar-SA"/>
      </w:rPr>
    </w:rPrDefault>
    <w:pPrDefault>
      <w:pPr>
        <w:suppressAutoHyphens w:val="true"/>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pPr>
      <w:widowControl/>
      <w:bidi w:val="0"/>
      <w:spacing w:before="0" w:after="0"/>
      <w:jc w:val="left"/>
    </w:pPr>
    <w:rPr>
      <w:rFonts w:ascii="Times New Roman" w:hAnsi="Times New Roman" w:eastAsia="Times New Roman" w:cs="Times New Roman"/>
      <w:color w:val="auto"/>
      <w:kern w:val="0"/>
      <w:sz w:val="24"/>
      <w:szCs w:val="24"/>
      <w:lang w:val="cs-CZ" w:eastAsia="cs-CZ" w:bidi="ar-SA"/>
    </w:rPr>
  </w:style>
  <w:style w:type="paragraph" w:styleId="Nadpis2">
    <w:name w:val="Heading 2"/>
    <w:basedOn w:val="Normal"/>
    <w:next w:val="Normal"/>
    <w:qFormat/>
    <w:pPr>
      <w:keepNext w:val="true"/>
      <w:jc w:val="both"/>
      <w:outlineLvl w:val="1"/>
    </w:pPr>
    <w:rPr>
      <w:szCs w:val="20"/>
      <w:u w:val="single"/>
    </w:rPr>
  </w:style>
  <w:style w:type="paragraph" w:styleId="Nadpis3">
    <w:name w:val="Heading 3"/>
    <w:basedOn w:val="Normal"/>
    <w:next w:val="Normal"/>
    <w:link w:val="Nadpis3Char"/>
    <w:uiPriority w:val="9"/>
    <w:semiHidden/>
    <w:unhideWhenUsed/>
    <w:qFormat/>
    <w:rsid w:val="00061946"/>
    <w:pPr>
      <w:keepNext w:val="true"/>
      <w:keepLines/>
      <w:spacing w:before="40" w:after="0"/>
      <w:outlineLvl w:val="2"/>
    </w:pPr>
    <w:rPr>
      <w:rFonts w:ascii="Calibri Light" w:hAnsi="Calibri Light" w:eastAsia="" w:cs="" w:asciiTheme="majorHAnsi" w:cstheme="majorBidi" w:eastAsiaTheme="majorEastAsia" w:hAnsiTheme="majorHAnsi"/>
      <w:color w:val="1F4D78" w:themeColor="accent1" w:themeShade="7f"/>
    </w:rPr>
  </w:style>
  <w:style w:type="character" w:styleId="DefaultParagraphFont" w:default="1">
    <w:name w:val="Default Paragraph Font"/>
    <w:uiPriority w:val="1"/>
    <w:semiHidden/>
    <w:unhideWhenUsed/>
    <w:qFormat/>
    <w:rPr/>
  </w:style>
  <w:style w:type="character" w:styleId="Ukotvenpoznmkypodarou">
    <w:name w:val="Ukotvení poznámky pod čarou"/>
    <w:rPr>
      <w:vertAlign w:val="superscript"/>
    </w:rPr>
  </w:style>
  <w:style w:type="character" w:styleId="FootnoteCharacters">
    <w:name w:val="Footnote Characters"/>
    <w:semiHidden/>
    <w:qFormat/>
    <w:rPr>
      <w:vertAlign w:val="superscript"/>
    </w:rPr>
  </w:style>
  <w:style w:type="character" w:styleId="Annotationreference">
    <w:name w:val="annotation reference"/>
    <w:semiHidden/>
    <w:qFormat/>
    <w:rPr>
      <w:sz w:val="16"/>
      <w:szCs w:val="16"/>
    </w:rPr>
  </w:style>
  <w:style w:type="character" w:styleId="TextkomenteChar" w:customStyle="1">
    <w:name w:val="Text komentáře Char"/>
    <w:basedOn w:val="DefaultParagraphFont"/>
    <w:link w:val="Textkomente"/>
    <w:semiHidden/>
    <w:qFormat/>
    <w:rsid w:val="00ad0d21"/>
    <w:rPr/>
  </w:style>
  <w:style w:type="character" w:styleId="PedmtkomenteChar" w:customStyle="1">
    <w:name w:val="Předmět komentáře Char"/>
    <w:link w:val="Pedmtkomente"/>
    <w:uiPriority w:val="99"/>
    <w:semiHidden/>
    <w:qFormat/>
    <w:rsid w:val="00ad0d21"/>
    <w:rPr>
      <w:b/>
      <w:bCs/>
    </w:rPr>
  </w:style>
  <w:style w:type="character" w:styleId="ZpatChar" w:customStyle="1">
    <w:name w:val="Zápatí Char"/>
    <w:link w:val="Zpat"/>
    <w:uiPriority w:val="99"/>
    <w:qFormat/>
    <w:rsid w:val="005e114f"/>
    <w:rPr>
      <w:sz w:val="24"/>
      <w:szCs w:val="24"/>
    </w:rPr>
  </w:style>
  <w:style w:type="character" w:styleId="Nadpis3Char" w:customStyle="1">
    <w:name w:val="Nadpis 3 Char"/>
    <w:basedOn w:val="DefaultParagraphFont"/>
    <w:link w:val="Nadpis3"/>
    <w:uiPriority w:val="9"/>
    <w:semiHidden/>
    <w:qFormat/>
    <w:rsid w:val="00061946"/>
    <w:rPr>
      <w:rFonts w:ascii="Calibri Light" w:hAnsi="Calibri Light" w:eastAsia="" w:cs="" w:asciiTheme="majorHAnsi" w:cstheme="majorBidi" w:eastAsiaTheme="majorEastAsia" w:hAnsiTheme="majorHAnsi"/>
      <w:color w:val="1F4D78" w:themeColor="accent1" w:themeShade="7f"/>
      <w:sz w:val="24"/>
      <w:szCs w:val="24"/>
    </w:rPr>
  </w:style>
  <w:style w:type="character" w:styleId="Znakypropoznmkupodarou">
    <w:name w:val="Znaky pro poznámku pod čarou"/>
    <w:qFormat/>
    <w:rPr/>
  </w:style>
  <w:style w:type="character" w:styleId="Ukotvenvysvtlivky">
    <w:name w:val="Ukotvení vysvětlivky"/>
    <w:rPr>
      <w:vertAlign w:val="superscript"/>
    </w:rPr>
  </w:style>
  <w:style w:type="character" w:styleId="Znakyprovysvtlivky">
    <w:name w:val="Znaky pro vysvětlivky"/>
    <w:qFormat/>
    <w:rPr/>
  </w:style>
  <w:style w:type="paragraph" w:styleId="Nadpis">
    <w:name w:val="Nadpis"/>
    <w:basedOn w:val="Normal"/>
    <w:next w:val="Tlotextu"/>
    <w:qFormat/>
    <w:pPr>
      <w:keepNext w:val="true"/>
      <w:spacing w:before="240" w:after="120"/>
    </w:pPr>
    <w:rPr>
      <w:rFonts w:ascii="Liberation Sans" w:hAnsi="Liberation Sans" w:eastAsia="Microsoft YaHei" w:cs="Arial"/>
      <w:sz w:val="28"/>
      <w:szCs w:val="28"/>
    </w:rPr>
  </w:style>
  <w:style w:type="paragraph" w:styleId="Tlotextu">
    <w:name w:val="Body Text"/>
    <w:basedOn w:val="Normal"/>
    <w:pPr>
      <w:spacing w:before="0" w:after="120"/>
    </w:pPr>
    <w:rPr>
      <w:szCs w:val="20"/>
    </w:rPr>
  </w:style>
  <w:style w:type="paragraph" w:styleId="Seznam">
    <w:name w:val="List"/>
    <w:basedOn w:val="Tlotextu"/>
    <w:pPr/>
    <w:rPr>
      <w:rFonts w:cs="Arial"/>
    </w:rPr>
  </w:style>
  <w:style w:type="paragraph" w:styleId="Popisek">
    <w:name w:val="Caption"/>
    <w:basedOn w:val="Normal"/>
    <w:qFormat/>
    <w:pPr>
      <w:suppressLineNumbers/>
      <w:spacing w:before="120" w:after="120"/>
    </w:pPr>
    <w:rPr>
      <w:rFonts w:cs="Arial"/>
      <w:i/>
      <w:iCs/>
      <w:sz w:val="24"/>
      <w:szCs w:val="24"/>
    </w:rPr>
  </w:style>
  <w:style w:type="paragraph" w:styleId="Rejstk">
    <w:name w:val="Rejstřík"/>
    <w:basedOn w:val="Normal"/>
    <w:qFormat/>
    <w:pPr>
      <w:suppressLineNumbers/>
    </w:pPr>
    <w:rPr>
      <w:rFonts w:cs="Arial"/>
    </w:rPr>
  </w:style>
  <w:style w:type="paragraph" w:styleId="Odsazentlatextu">
    <w:name w:val="Body Text Indent"/>
    <w:basedOn w:val="Normal"/>
    <w:pPr>
      <w:ind w:left="708" w:firstLine="357"/>
      <w:jc w:val="both"/>
    </w:pPr>
    <w:rPr>
      <w:szCs w:val="20"/>
    </w:rPr>
  </w:style>
  <w:style w:type="paragraph" w:styleId="BodyTextIndent2">
    <w:name w:val="Body Text Indent 2"/>
    <w:basedOn w:val="Normal"/>
    <w:qFormat/>
    <w:pPr>
      <w:ind w:left="708" w:firstLine="360"/>
      <w:jc w:val="both"/>
    </w:pPr>
    <w:rPr>
      <w:bCs/>
      <w:szCs w:val="20"/>
    </w:rPr>
  </w:style>
  <w:style w:type="paragraph" w:styleId="Zhlavazpat">
    <w:name w:val="Záhlaví a zápatí"/>
    <w:basedOn w:val="Normal"/>
    <w:qFormat/>
    <w:pPr/>
    <w:rPr/>
  </w:style>
  <w:style w:type="paragraph" w:styleId="Zhlav">
    <w:name w:val="Header"/>
    <w:basedOn w:val="Normal"/>
    <w:pPr>
      <w:tabs>
        <w:tab w:val="clear" w:pos="708"/>
        <w:tab w:val="center" w:pos="4536" w:leader="none"/>
        <w:tab w:val="right" w:pos="9072" w:leader="none"/>
      </w:tabs>
    </w:pPr>
    <w:rPr>
      <w:szCs w:val="20"/>
    </w:rPr>
  </w:style>
  <w:style w:type="paragraph" w:styleId="Poznmkapodarou">
    <w:name w:val="Footnote Text"/>
    <w:basedOn w:val="Normal"/>
    <w:semiHidden/>
    <w:pPr/>
    <w:rPr>
      <w:sz w:val="20"/>
      <w:szCs w:val="20"/>
    </w:rPr>
  </w:style>
  <w:style w:type="paragraph" w:styleId="NormlnIMP" w:customStyle="1">
    <w:name w:val="Normální_IMP"/>
    <w:basedOn w:val="Normal"/>
    <w:qFormat/>
    <w:pPr>
      <w:suppressAutoHyphens w:val="true"/>
      <w:overflowPunct w:val="true"/>
      <w:spacing w:lineRule="auto" w:line="228"/>
      <w:jc w:val="both"/>
      <w:textAlignment w:val="baseline"/>
    </w:pPr>
    <w:rPr>
      <w:szCs w:val="20"/>
    </w:rPr>
  </w:style>
  <w:style w:type="paragraph" w:styleId="Annotationtext">
    <w:name w:val="annotation text"/>
    <w:basedOn w:val="Normal"/>
    <w:link w:val="TextkomenteChar"/>
    <w:semiHidden/>
    <w:qFormat/>
    <w:pPr/>
    <w:rPr>
      <w:sz w:val="20"/>
      <w:szCs w:val="20"/>
    </w:rPr>
  </w:style>
  <w:style w:type="paragraph" w:styleId="BodyTextIndent3">
    <w:name w:val="Body Text Indent 3"/>
    <w:basedOn w:val="Normal"/>
    <w:qFormat/>
    <w:pPr>
      <w:widowControl w:val="false"/>
      <w:tabs>
        <w:tab w:val="clear" w:pos="708"/>
        <w:tab w:val="left" w:pos="540" w:leader="none"/>
      </w:tabs>
      <w:ind w:left="540" w:hanging="540"/>
      <w:jc w:val="both"/>
    </w:pPr>
    <w:rPr>
      <w:bCs/>
    </w:rPr>
  </w:style>
  <w:style w:type="paragraph" w:styleId="BalloonText">
    <w:name w:val="Balloon Text"/>
    <w:basedOn w:val="Normal"/>
    <w:semiHidden/>
    <w:qFormat/>
    <w:pPr/>
    <w:rPr>
      <w:rFonts w:ascii="Tahoma" w:hAnsi="Tahoma" w:cs="Tahoma"/>
      <w:sz w:val="16"/>
      <w:szCs w:val="16"/>
    </w:rPr>
  </w:style>
  <w:style w:type="paragraph" w:styleId="ListParagraph">
    <w:name w:val="List Paragraph"/>
    <w:basedOn w:val="Normal"/>
    <w:uiPriority w:val="99"/>
    <w:qFormat/>
    <w:rsid w:val="009b77cc"/>
    <w:pPr>
      <w:spacing w:lineRule="auto" w:line="276" w:before="0" w:after="200"/>
      <w:ind w:left="720" w:hanging="0"/>
      <w:contextualSpacing/>
    </w:pPr>
    <w:rPr>
      <w:rFonts w:ascii="Calibri" w:hAnsi="Calibri" w:eastAsia="Calibri"/>
      <w:sz w:val="22"/>
      <w:szCs w:val="22"/>
      <w:lang w:eastAsia="en-US"/>
    </w:rPr>
  </w:style>
  <w:style w:type="paragraph" w:styleId="Annotationsubject">
    <w:name w:val="annotation subject"/>
    <w:basedOn w:val="Annotationtext"/>
    <w:next w:val="Annotationtext"/>
    <w:link w:val="PedmtkomenteChar"/>
    <w:uiPriority w:val="99"/>
    <w:semiHidden/>
    <w:unhideWhenUsed/>
    <w:qFormat/>
    <w:rsid w:val="00ad0d21"/>
    <w:pPr/>
    <w:rPr>
      <w:b/>
      <w:bCs/>
      <w:lang w:val="x-none" w:eastAsia="x-none"/>
    </w:rPr>
  </w:style>
  <w:style w:type="paragraph" w:styleId="Zpat">
    <w:name w:val="Footer"/>
    <w:basedOn w:val="Normal"/>
    <w:link w:val="ZpatChar"/>
    <w:uiPriority w:val="99"/>
    <w:unhideWhenUsed/>
    <w:rsid w:val="005e114f"/>
    <w:pPr>
      <w:tabs>
        <w:tab w:val="clear" w:pos="708"/>
        <w:tab w:val="center" w:pos="4536" w:leader="none"/>
        <w:tab w:val="right" w:pos="9072" w:leader="none"/>
      </w:tabs>
    </w:pPr>
    <w:rPr>
      <w:lang w:val="x-none" w:eastAsia="x-none"/>
    </w:rPr>
  </w:style>
  <w:style w:type="paragraph" w:styleId="Default" w:customStyle="1">
    <w:name w:val="Default"/>
    <w:qFormat/>
    <w:rsid w:val="003a0db1"/>
    <w:pPr>
      <w:widowControl/>
      <w:bidi w:val="0"/>
      <w:spacing w:before="0" w:after="0"/>
      <w:jc w:val="left"/>
    </w:pPr>
    <w:rPr>
      <w:rFonts w:ascii="Arial" w:hAnsi="Arial" w:eastAsia="Times New Roman" w:cs="Arial"/>
      <w:color w:val="000000"/>
      <w:kern w:val="0"/>
      <w:sz w:val="24"/>
      <w:szCs w:val="24"/>
      <w:lang w:val="cs-CZ" w:eastAsia="cs-CZ" w:bidi="ar-SA"/>
    </w:rPr>
  </w:style>
  <w:style w:type="paragraph" w:styleId="Nzvylnk" w:customStyle="1">
    <w:name w:val="Názvy článků"/>
    <w:basedOn w:val="Normal"/>
    <w:qFormat/>
    <w:rsid w:val="00730253"/>
    <w:pPr>
      <w:keepNext w:val="true"/>
      <w:keepLines/>
      <w:spacing w:before="60" w:after="160"/>
      <w:jc w:val="center"/>
    </w:pPr>
    <w:rPr>
      <w:b/>
      <w:bCs/>
      <w:szCs w:val="20"/>
    </w:rPr>
  </w:style>
  <w:style w:type="paragraph" w:styleId="Slalnk">
    <w:name w:val="Čísla článků"/>
    <w:basedOn w:val="Normal"/>
    <w:qFormat/>
    <w:pPr>
      <w:keepNext w:val="true"/>
      <w:keepLines/>
      <w:spacing w:before="360" w:after="60"/>
      <w:jc w:val="center"/>
    </w:pPr>
    <w:rPr>
      <w:b/>
      <w:bCs/>
      <w:szCs w:val="20"/>
    </w:rPr>
  </w:style>
  <w:style w:type="numbering" w:styleId="NoList" w:default="1">
    <w:name w:val="No List"/>
    <w:uiPriority w:val="99"/>
    <w:semiHidden/>
    <w:unhideWhenUsed/>
    <w:qFormat/>
  </w:style>
  <w:style w:type="table" w:default="1" w:styleId="Normlntabulka">
    <w:name w:val="Normal Table"/>
    <w:uiPriority w:val="99"/>
    <w:semiHidden/>
    <w:unhideWhenUsed/>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otnotes" Target="footnotes.xm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Relationship Id="rId8" Type="http://schemas.openxmlformats.org/officeDocument/2006/relationships/customXml" Target="../customXml/item1.xml"/>
</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086A947-7022-4B9D-9289-F1EE0FB76F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78</TotalTime>
  <Application>LibreOffice/7.1.5.2$Windows_X86_64 LibreOffice_project/85f04e9f809797b8199d13c421bd8a2b025d52b5</Application>
  <AppVersion>15.0000</AppVersion>
  <DocSecurity>0</DocSecurity>
  <Pages>4</Pages>
  <Words>1113</Words>
  <Characters>6031</Characters>
  <CharactersWithSpaces>7128</CharactersWithSpaces>
  <Paragraphs>99</Paragraphs>
  <Company>MV ČR</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2022-05-18T08:41:00Z</dcterms:created>
  <dc:creator>DA210036</dc:creator>
  <dc:description/>
  <dc:language>cs-CZ</dc:language>
  <cp:lastModifiedBy/>
  <cp:lastPrinted>2020-12-03T09:05:00Z</cp:lastPrinted>
  <dcterms:modified xsi:type="dcterms:W3CDTF">2024-12-20T16:18:55Z</dcterms:modified>
  <cp:revision>22</cp:revision>
  <dc:subject/>
  <dc:title>Vzor obecně závazné vyhlášky obce o stanovení systému shromažďování, sběru, přepravy, třídění, využívání a odstraňování komuná</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HyperlinksChanged">
    <vt:bool>0</vt:bool>
  </property>
  <property fmtid="{D5CDD505-2E9C-101B-9397-08002B2CF9AE}" pid="3" name="LinksUpToDate">
    <vt:bool>0</vt:bool>
  </property>
  <property fmtid="{D5CDD505-2E9C-101B-9397-08002B2CF9AE}" pid="4" name="ScaleCrop">
    <vt:bool>0</vt:bool>
  </property>
  <property fmtid="{D5CDD505-2E9C-101B-9397-08002B2CF9AE}" pid="5" name="ShareDoc">
    <vt:bool>0</vt:bool>
  </property>
</Properties>
</file>