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D8E" w:rsidRDefault="00864959">
      <w:pPr>
        <w:pStyle w:val="Nzev"/>
      </w:pPr>
      <w:r>
        <w:t>Město Hranice</w:t>
      </w:r>
      <w:r>
        <w:br/>
      </w:r>
      <w:r>
        <w:t>Zastupitelstvo města Hranice</w:t>
      </w:r>
    </w:p>
    <w:p w:rsidR="00AF5D8E" w:rsidRDefault="00864959">
      <w:pPr>
        <w:pStyle w:val="Nadpis1"/>
      </w:pPr>
      <w:r>
        <w:t>Obecně závazná vyhláška města Hranice</w:t>
      </w:r>
      <w:r>
        <w:br/>
      </w:r>
      <w:r>
        <w:t>o místním poplatku ze psů</w:t>
      </w:r>
    </w:p>
    <w:p w:rsidR="00AF5D8E" w:rsidRDefault="00864959">
      <w:pPr>
        <w:pStyle w:val="UvodniVeta"/>
      </w:pPr>
      <w:r>
        <w:t xml:space="preserve">Zastupitelstvo města Hranice se na svém zasedání dne 16. listopadu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</w:t>
      </w:r>
      <w:r>
        <w:t>ění pozdějších předpisů, tuto obecně závaznou vyhlášku (dále jen „vyhláška“):</w:t>
      </w:r>
    </w:p>
    <w:p w:rsidR="00AF5D8E" w:rsidRDefault="00864959">
      <w:pPr>
        <w:pStyle w:val="Nadpis2"/>
      </w:pPr>
      <w:r>
        <w:t>Čl. 1</w:t>
      </w:r>
      <w:r>
        <w:br/>
      </w:r>
      <w:r>
        <w:t>Úvodní ustanovení</w:t>
      </w:r>
    </w:p>
    <w:p w:rsidR="00AF5D8E" w:rsidRDefault="00864959">
      <w:pPr>
        <w:pStyle w:val="Odstavec"/>
        <w:numPr>
          <w:ilvl w:val="0"/>
          <w:numId w:val="1"/>
        </w:numPr>
      </w:pPr>
      <w:r>
        <w:t>Město Hranice touto vyhláškou zavádí místní poplatek ze psů (dále jen „poplatek“).</w:t>
      </w:r>
    </w:p>
    <w:p w:rsidR="00AF5D8E" w:rsidRDefault="0086495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AF5D8E" w:rsidRDefault="00864959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AF5D8E" w:rsidRDefault="00864959">
      <w:pPr>
        <w:pStyle w:val="Nadpis2"/>
      </w:pPr>
      <w:r>
        <w:t>Čl. 2</w:t>
      </w:r>
      <w:r>
        <w:br/>
      </w:r>
      <w:r>
        <w:t>Předmět poplatku a poplatník</w:t>
      </w:r>
    </w:p>
    <w:p w:rsidR="00AF5D8E" w:rsidRDefault="00864959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</w:t>
      </w:r>
      <w:r>
        <w:t>í České republiky (dále jen „poplatník“); poplatek ze psů platí poplatník městu příslušnému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AF5D8E" w:rsidRDefault="00864959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AF5D8E" w:rsidRDefault="00864959">
      <w:pPr>
        <w:pStyle w:val="Nadpis2"/>
      </w:pPr>
      <w:r>
        <w:t>Čl. 3</w:t>
      </w:r>
      <w:r>
        <w:br/>
      </w:r>
      <w:r>
        <w:t>Ohlašovací povinnost</w:t>
      </w:r>
    </w:p>
    <w:p w:rsidR="00AF5D8E" w:rsidRDefault="0086495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AF5D8E" w:rsidRDefault="00864959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</w:t>
      </w:r>
      <w:r>
        <w:t>y nastala</w:t>
      </w:r>
      <w:r>
        <w:rPr>
          <w:rStyle w:val="Znakapoznpodarou"/>
        </w:rPr>
        <w:footnoteReference w:id="6"/>
      </w:r>
      <w:r>
        <w:t>.</w:t>
      </w:r>
    </w:p>
    <w:p w:rsidR="00327BC7" w:rsidRDefault="00327BC7" w:rsidP="00327BC7">
      <w:pPr>
        <w:pStyle w:val="Odstavec"/>
        <w:ind w:left="567"/>
      </w:pPr>
    </w:p>
    <w:p w:rsidR="00327BC7" w:rsidRDefault="00327BC7" w:rsidP="00327BC7">
      <w:pPr>
        <w:pStyle w:val="Odstavec"/>
        <w:ind w:left="567"/>
      </w:pPr>
    </w:p>
    <w:p w:rsidR="00AF5D8E" w:rsidRDefault="00864959">
      <w:pPr>
        <w:pStyle w:val="Nadpis2"/>
      </w:pPr>
      <w:r>
        <w:lastRenderedPageBreak/>
        <w:t>Čl. 4</w:t>
      </w:r>
      <w:r>
        <w:br/>
      </w:r>
      <w:r>
        <w:t>Sazba poplatku</w:t>
      </w:r>
    </w:p>
    <w:p w:rsidR="00AF5D8E" w:rsidRDefault="00AF5D8E">
      <w:pPr>
        <w:pStyle w:val="Odstavec"/>
        <w:numPr>
          <w:ilvl w:val="0"/>
          <w:numId w:val="4"/>
        </w:num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3"/>
        <w:gridCol w:w="1080"/>
        <w:gridCol w:w="1260"/>
        <w:gridCol w:w="1619"/>
      </w:tblGrid>
      <w:tr w:rsidR="00327BC7" w:rsidRPr="00632219" w:rsidTr="00EA49A3">
        <w:trPr>
          <w:trHeight w:val="1026"/>
        </w:trPr>
        <w:tc>
          <w:tcPr>
            <w:tcW w:w="5033" w:type="dxa"/>
          </w:tcPr>
          <w:p w:rsidR="00327BC7" w:rsidRPr="00BE34EF" w:rsidRDefault="00327BC7" w:rsidP="00EA49A3">
            <w:pPr>
              <w:spacing w:before="120" w:line="28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E34EF">
              <w:rPr>
                <w:rFonts w:ascii="Arial" w:hAnsi="Arial" w:cs="Arial"/>
                <w:b/>
                <w:sz w:val="22"/>
                <w:szCs w:val="22"/>
              </w:rPr>
              <w:t>Sazba poplatku za kalendářní rok činí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080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219">
              <w:rPr>
                <w:rFonts w:ascii="Arial" w:hAnsi="Arial" w:cs="Arial"/>
                <w:b/>
                <w:sz w:val="22"/>
                <w:szCs w:val="22"/>
              </w:rPr>
              <w:t>Za prvního psa</w:t>
            </w:r>
          </w:p>
        </w:tc>
        <w:tc>
          <w:tcPr>
            <w:tcW w:w="1260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219">
              <w:rPr>
                <w:rFonts w:ascii="Arial" w:hAnsi="Arial" w:cs="Arial"/>
                <w:b/>
                <w:sz w:val="22"/>
                <w:szCs w:val="22"/>
              </w:rPr>
              <w:t>Za druhého psa téhož držitele</w:t>
            </w:r>
          </w:p>
        </w:tc>
        <w:tc>
          <w:tcPr>
            <w:tcW w:w="1619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219">
              <w:rPr>
                <w:rFonts w:ascii="Arial" w:hAnsi="Arial" w:cs="Arial"/>
                <w:b/>
                <w:sz w:val="22"/>
                <w:szCs w:val="22"/>
              </w:rPr>
              <w:t>Za třetího a každého dalšího psa téhož držitele</w:t>
            </w:r>
          </w:p>
        </w:tc>
      </w:tr>
      <w:tr w:rsidR="00327BC7" w:rsidRPr="00632219" w:rsidTr="00EA49A3">
        <w:trPr>
          <w:trHeight w:val="210"/>
        </w:trPr>
        <w:tc>
          <w:tcPr>
            <w:tcW w:w="5033" w:type="dxa"/>
          </w:tcPr>
          <w:p w:rsidR="00327BC7" w:rsidRPr="00632219" w:rsidRDefault="00327BC7" w:rsidP="00EA49A3">
            <w:pPr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 xml:space="preserve">a) v domech v Hranicích se </w:t>
            </w:r>
            <w:smartTag w:uri="urn:schemas-microsoft-com:office:smarttags" w:element="metricconverter">
              <w:smartTagPr>
                <w:attr w:name="ProductID" w:val="4 a"/>
              </w:smartTagPr>
              <w:r w:rsidRPr="00632219">
                <w:rPr>
                  <w:rFonts w:ascii="Arial" w:hAnsi="Arial" w:cs="Arial"/>
                  <w:sz w:val="22"/>
                  <w:szCs w:val="22"/>
                </w:rPr>
                <w:t>4 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více byty nebo</w:t>
            </w:r>
            <w:r w:rsidRPr="006322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27BC7" w:rsidRPr="00632219" w:rsidRDefault="00327BC7" w:rsidP="00EA49A3">
            <w:pPr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 xml:space="preserve">    v sídlech </w:t>
            </w:r>
            <w:r>
              <w:rPr>
                <w:rFonts w:ascii="Arial" w:hAnsi="Arial" w:cs="Arial"/>
                <w:sz w:val="22"/>
                <w:szCs w:val="22"/>
              </w:rPr>
              <w:t>práv. osob</w:t>
            </w:r>
          </w:p>
        </w:tc>
        <w:tc>
          <w:tcPr>
            <w:tcW w:w="1080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>1.000 Kč</w:t>
            </w:r>
          </w:p>
        </w:tc>
        <w:tc>
          <w:tcPr>
            <w:tcW w:w="1260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>1.500 Kč</w:t>
            </w:r>
          </w:p>
        </w:tc>
        <w:tc>
          <w:tcPr>
            <w:tcW w:w="1619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>1.500 Kč</w:t>
            </w:r>
          </w:p>
        </w:tc>
      </w:tr>
      <w:tr w:rsidR="00327BC7" w:rsidRPr="00632219" w:rsidTr="00EA49A3">
        <w:trPr>
          <w:trHeight w:val="210"/>
        </w:trPr>
        <w:tc>
          <w:tcPr>
            <w:tcW w:w="5033" w:type="dxa"/>
          </w:tcPr>
          <w:p w:rsidR="00327BC7" w:rsidRPr="00632219" w:rsidRDefault="00327BC7" w:rsidP="00EA49A3">
            <w:pPr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 xml:space="preserve">b) na adrese ohlašovny Městského úřadu             </w:t>
            </w:r>
          </w:p>
          <w:p w:rsidR="00327BC7" w:rsidRPr="00632219" w:rsidRDefault="00327BC7" w:rsidP="00EA49A3">
            <w:pPr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 xml:space="preserve">    Hranice – Pernštejnské náměstí 1</w:t>
            </w:r>
          </w:p>
        </w:tc>
        <w:tc>
          <w:tcPr>
            <w:tcW w:w="1080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>200 Kč</w:t>
            </w:r>
          </w:p>
        </w:tc>
        <w:tc>
          <w:tcPr>
            <w:tcW w:w="1260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>350 Kč</w:t>
            </w:r>
          </w:p>
        </w:tc>
        <w:tc>
          <w:tcPr>
            <w:tcW w:w="1619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>500 Kč</w:t>
            </w:r>
          </w:p>
        </w:tc>
      </w:tr>
      <w:tr w:rsidR="00327BC7" w:rsidRPr="00632219" w:rsidTr="00EA49A3">
        <w:trPr>
          <w:trHeight w:val="330"/>
        </w:trPr>
        <w:tc>
          <w:tcPr>
            <w:tcW w:w="5033" w:type="dxa"/>
          </w:tcPr>
          <w:p w:rsidR="00327BC7" w:rsidRPr="00632219" w:rsidRDefault="00327BC7" w:rsidP="00EA49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32219">
              <w:rPr>
                <w:rFonts w:ascii="Arial" w:hAnsi="Arial" w:cs="Arial"/>
                <w:sz w:val="22"/>
                <w:szCs w:val="22"/>
              </w:rPr>
              <w:t>) v ostatních domech v Hranicích I – Město</w:t>
            </w:r>
          </w:p>
          <w:p w:rsidR="00327BC7" w:rsidRPr="00632219" w:rsidRDefault="00327BC7" w:rsidP="00EA49A3">
            <w:pPr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 xml:space="preserve">    a ve všech domech v Hranicích </w:t>
            </w:r>
            <w:proofErr w:type="gramStart"/>
            <w:r w:rsidRPr="00632219">
              <w:rPr>
                <w:rFonts w:ascii="Arial" w:hAnsi="Arial" w:cs="Arial"/>
                <w:sz w:val="22"/>
                <w:szCs w:val="22"/>
              </w:rPr>
              <w:t xml:space="preserve">IV - </w:t>
            </w:r>
            <w:proofErr w:type="spellStart"/>
            <w:r w:rsidRPr="00632219">
              <w:rPr>
                <w:rFonts w:ascii="Arial" w:hAnsi="Arial" w:cs="Arial"/>
                <w:sz w:val="22"/>
                <w:szCs w:val="22"/>
              </w:rPr>
              <w:t>Drahotuše</w:t>
            </w:r>
            <w:proofErr w:type="spellEnd"/>
            <w:proofErr w:type="gramEnd"/>
          </w:p>
        </w:tc>
        <w:tc>
          <w:tcPr>
            <w:tcW w:w="1080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>200 Kč</w:t>
            </w:r>
          </w:p>
        </w:tc>
        <w:tc>
          <w:tcPr>
            <w:tcW w:w="1260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>350 Kč</w:t>
            </w:r>
          </w:p>
        </w:tc>
        <w:tc>
          <w:tcPr>
            <w:tcW w:w="1619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>500 Kč</w:t>
            </w:r>
          </w:p>
        </w:tc>
      </w:tr>
      <w:tr w:rsidR="00327BC7" w:rsidRPr="00632219" w:rsidTr="00EA49A3">
        <w:trPr>
          <w:trHeight w:val="150"/>
        </w:trPr>
        <w:tc>
          <w:tcPr>
            <w:tcW w:w="5033" w:type="dxa"/>
          </w:tcPr>
          <w:p w:rsidR="00327BC7" w:rsidRPr="00632219" w:rsidRDefault="00327BC7" w:rsidP="00EA49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632219">
              <w:rPr>
                <w:rFonts w:ascii="Arial" w:hAnsi="Arial" w:cs="Arial"/>
                <w:sz w:val="22"/>
                <w:szCs w:val="22"/>
              </w:rPr>
              <w:t>) ve všech domech v:</w:t>
            </w:r>
          </w:p>
          <w:p w:rsidR="00327BC7" w:rsidRPr="00632219" w:rsidRDefault="00327BC7" w:rsidP="00EA49A3">
            <w:pPr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 xml:space="preserve">    Hranice II – Lhotka, Hranice III – Velká,</w:t>
            </w:r>
          </w:p>
          <w:p w:rsidR="00327BC7" w:rsidRPr="00632219" w:rsidRDefault="00327BC7" w:rsidP="00EA49A3">
            <w:pPr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 xml:space="preserve">    Hranice V – Rybáře, Hranice VI – </w:t>
            </w:r>
            <w:proofErr w:type="spellStart"/>
            <w:r w:rsidRPr="00632219">
              <w:rPr>
                <w:rFonts w:ascii="Arial" w:hAnsi="Arial" w:cs="Arial"/>
                <w:sz w:val="22"/>
                <w:szCs w:val="22"/>
              </w:rPr>
              <w:t>Valšovice</w:t>
            </w:r>
            <w:proofErr w:type="spellEnd"/>
            <w:r w:rsidRPr="00632219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27BC7" w:rsidRPr="00632219" w:rsidRDefault="00327BC7" w:rsidP="00EA49A3">
            <w:pPr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 xml:space="preserve">    Hranice VII – </w:t>
            </w:r>
            <w:proofErr w:type="spellStart"/>
            <w:r w:rsidRPr="00632219">
              <w:rPr>
                <w:rFonts w:ascii="Arial" w:hAnsi="Arial" w:cs="Arial"/>
                <w:sz w:val="22"/>
                <w:szCs w:val="22"/>
              </w:rPr>
              <w:t>Slavíč</w:t>
            </w:r>
            <w:proofErr w:type="spellEnd"/>
            <w:r w:rsidRPr="00632219">
              <w:rPr>
                <w:rFonts w:ascii="Arial" w:hAnsi="Arial" w:cs="Arial"/>
                <w:sz w:val="22"/>
                <w:szCs w:val="22"/>
              </w:rPr>
              <w:t xml:space="preserve">, Hranice VIII – </w:t>
            </w:r>
            <w:proofErr w:type="spellStart"/>
            <w:r w:rsidRPr="00632219">
              <w:rPr>
                <w:rFonts w:ascii="Arial" w:hAnsi="Arial" w:cs="Arial"/>
                <w:sz w:val="22"/>
                <w:szCs w:val="22"/>
              </w:rPr>
              <w:t>Středolesí</w:t>
            </w:r>
            <w:proofErr w:type="spellEnd"/>
            <w:r w:rsidRPr="00632219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27BC7" w:rsidRPr="00632219" w:rsidRDefault="00327BC7" w:rsidP="00EA49A3">
            <w:pPr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 xml:space="preserve">    Hranice IX – Uhřínov</w:t>
            </w:r>
          </w:p>
        </w:tc>
        <w:tc>
          <w:tcPr>
            <w:tcW w:w="1080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>120 Kč</w:t>
            </w:r>
          </w:p>
        </w:tc>
        <w:tc>
          <w:tcPr>
            <w:tcW w:w="1260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>220 Kč</w:t>
            </w:r>
          </w:p>
        </w:tc>
        <w:tc>
          <w:tcPr>
            <w:tcW w:w="1619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>220 Kč</w:t>
            </w:r>
          </w:p>
        </w:tc>
      </w:tr>
      <w:tr w:rsidR="00327BC7" w:rsidRPr="00632219" w:rsidTr="00EA49A3">
        <w:trPr>
          <w:trHeight w:val="270"/>
        </w:trPr>
        <w:tc>
          <w:tcPr>
            <w:tcW w:w="5033" w:type="dxa"/>
          </w:tcPr>
          <w:p w:rsidR="00327BC7" w:rsidRPr="00632219" w:rsidRDefault="00327BC7" w:rsidP="00EA49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32219">
              <w:rPr>
                <w:rFonts w:ascii="Arial" w:hAnsi="Arial" w:cs="Arial"/>
                <w:sz w:val="22"/>
                <w:szCs w:val="22"/>
              </w:rPr>
              <w:t xml:space="preserve">) u poživatelů invalidního, starobního,   </w:t>
            </w:r>
          </w:p>
          <w:p w:rsidR="00327BC7" w:rsidRPr="00632219" w:rsidRDefault="00327BC7" w:rsidP="00EA49A3">
            <w:pPr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 xml:space="preserve">    vdovského a vdoveckého důchodu, který je  </w:t>
            </w:r>
          </w:p>
          <w:p w:rsidR="00327BC7" w:rsidRPr="00632219" w:rsidRDefault="00327BC7" w:rsidP="00EA49A3">
            <w:pPr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 xml:space="preserve">    jejich jediným zdrojem příjmů, anebo sirotčího      </w:t>
            </w:r>
          </w:p>
          <w:p w:rsidR="00327BC7" w:rsidRPr="00632219" w:rsidRDefault="00327BC7" w:rsidP="00EA49A3">
            <w:pPr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 xml:space="preserve">    důchodu</w:t>
            </w:r>
          </w:p>
        </w:tc>
        <w:tc>
          <w:tcPr>
            <w:tcW w:w="1080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>100 Kč</w:t>
            </w:r>
          </w:p>
        </w:tc>
        <w:tc>
          <w:tcPr>
            <w:tcW w:w="1260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>150 Kč</w:t>
            </w:r>
          </w:p>
        </w:tc>
        <w:tc>
          <w:tcPr>
            <w:tcW w:w="1619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219">
              <w:rPr>
                <w:rFonts w:ascii="Arial" w:hAnsi="Arial" w:cs="Arial"/>
                <w:sz w:val="22"/>
                <w:szCs w:val="22"/>
              </w:rPr>
              <w:t>150 Kč</w:t>
            </w:r>
          </w:p>
        </w:tc>
      </w:tr>
      <w:tr w:rsidR="00327BC7" w:rsidRPr="00632219" w:rsidTr="00EA49A3">
        <w:trPr>
          <w:trHeight w:val="270"/>
        </w:trPr>
        <w:tc>
          <w:tcPr>
            <w:tcW w:w="5033" w:type="dxa"/>
          </w:tcPr>
          <w:p w:rsidR="00327BC7" w:rsidRDefault="00327BC7" w:rsidP="00EA49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f) </w:t>
            </w:r>
            <w:r>
              <w:rPr>
                <w:rFonts w:ascii="Arial" w:hAnsi="Arial" w:cs="Arial"/>
              </w:rPr>
              <w:t>u osob starší 65 let</w:t>
            </w:r>
          </w:p>
        </w:tc>
        <w:tc>
          <w:tcPr>
            <w:tcW w:w="1080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Kč</w:t>
            </w:r>
          </w:p>
        </w:tc>
        <w:tc>
          <w:tcPr>
            <w:tcW w:w="1260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 Kč</w:t>
            </w:r>
          </w:p>
        </w:tc>
        <w:tc>
          <w:tcPr>
            <w:tcW w:w="1619" w:type="dxa"/>
          </w:tcPr>
          <w:p w:rsidR="00327BC7" w:rsidRPr="00632219" w:rsidRDefault="00327BC7" w:rsidP="00EA4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 Kč</w:t>
            </w:r>
          </w:p>
        </w:tc>
      </w:tr>
    </w:tbl>
    <w:p w:rsidR="00327BC7" w:rsidRDefault="00327BC7" w:rsidP="00327BC7">
      <w:pPr>
        <w:pStyle w:val="Odstavec"/>
      </w:pPr>
    </w:p>
    <w:p w:rsidR="00AF5D8E" w:rsidRDefault="00864959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AF5D8E" w:rsidRDefault="00864959">
      <w:pPr>
        <w:pStyle w:val="Nadpis2"/>
      </w:pPr>
      <w:r>
        <w:t>Čl. 5</w:t>
      </w:r>
      <w:r>
        <w:br/>
      </w:r>
      <w:r>
        <w:t>Splatnost poplatku</w:t>
      </w:r>
    </w:p>
    <w:p w:rsidR="00AF5D8E" w:rsidRDefault="00864959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AF5D8E" w:rsidRDefault="00864959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</w:t>
      </w:r>
      <w:r>
        <w:t xml:space="preserve"> následuje po měsíci, ve kterém poplatková povinnost vznikla.</w:t>
      </w:r>
    </w:p>
    <w:p w:rsidR="00AF5D8E" w:rsidRDefault="0086495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AF5D8E" w:rsidRDefault="00864959">
      <w:pPr>
        <w:pStyle w:val="Nadpis2"/>
      </w:pPr>
      <w:r>
        <w:t>Čl. 6</w:t>
      </w:r>
      <w:r>
        <w:br/>
      </w:r>
      <w:r>
        <w:t xml:space="preserve"> Osvobození</w:t>
      </w:r>
    </w:p>
    <w:p w:rsidR="00AF5D8E" w:rsidRDefault="00864959">
      <w:pPr>
        <w:pStyle w:val="Odstavec"/>
        <w:numPr>
          <w:ilvl w:val="0"/>
          <w:numId w:val="6"/>
        </w:numPr>
      </w:pPr>
      <w:r>
        <w:t>Od poplatku ze psů je osvobozen držitel psa, kterým je osoba nevi</w:t>
      </w:r>
      <w:r>
        <w:t>domá, osoba, která je považována za závislou na pomoci jiné fyzické osoby podle zákona upravujícího sociální služby, osoba, která je držitelem průkazu ZTP nebo ZTP/P, osoba provádějící výcvik psů určených k doprovodu těchto osob, osoba provozující útulek p</w:t>
      </w:r>
      <w:r>
        <w:t>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AF5D8E" w:rsidRDefault="00864959">
      <w:pPr>
        <w:pStyle w:val="Odstavec"/>
        <w:numPr>
          <w:ilvl w:val="0"/>
          <w:numId w:val="1"/>
        </w:numPr>
      </w:pPr>
      <w:r>
        <w:t>Od poplatku se dále osvobozují:</w:t>
      </w:r>
    </w:p>
    <w:p w:rsidR="00AF5D8E" w:rsidRDefault="00864959">
      <w:pPr>
        <w:pStyle w:val="Odstavec"/>
        <w:numPr>
          <w:ilvl w:val="1"/>
          <w:numId w:val="1"/>
        </w:numPr>
      </w:pPr>
      <w:r>
        <w:lastRenderedPageBreak/>
        <w:t>Město Hranice, jeho organizační složky a jeho příspěvkové organizace</w:t>
      </w:r>
      <w:r w:rsidR="004211DD">
        <w:t>,</w:t>
      </w:r>
    </w:p>
    <w:p w:rsidR="00AF5D8E" w:rsidRDefault="00864959">
      <w:pPr>
        <w:pStyle w:val="Odstavec"/>
        <w:numPr>
          <w:ilvl w:val="1"/>
          <w:numId w:val="1"/>
        </w:numPr>
      </w:pPr>
      <w:r>
        <w:t>držitelé po dob</w:t>
      </w:r>
      <w:r>
        <w:t xml:space="preserve">u 12 měsíců, byl-li pes převzat z </w:t>
      </w:r>
      <w:proofErr w:type="gramStart"/>
      <w:r>
        <w:t>út</w:t>
      </w:r>
      <w:bookmarkStart w:id="0" w:name="_GoBack"/>
      <w:bookmarkEnd w:id="0"/>
      <w:r>
        <w:t>ulku</w:t>
      </w:r>
      <w:proofErr w:type="gramEnd"/>
      <w:r>
        <w:t xml:space="preserve"> a to na základě předávacího protokolu</w:t>
      </w:r>
      <w:r>
        <w:t>,</w:t>
      </w:r>
    </w:p>
    <w:p w:rsidR="00AF5D8E" w:rsidRDefault="00864959">
      <w:pPr>
        <w:pStyle w:val="Odstavec"/>
        <w:numPr>
          <w:ilvl w:val="1"/>
          <w:numId w:val="1"/>
        </w:numPr>
      </w:pPr>
      <w:r>
        <w:t>držitelé, kteří v příslušném kalendářním roce dosáhnou věku 70 let nebo jsou starší 70 let věku.</w:t>
      </w:r>
    </w:p>
    <w:p w:rsidR="00AF5D8E" w:rsidRDefault="00864959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</w:t>
      </w:r>
      <w:r>
        <w:t xml:space="preserve">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AF5D8E" w:rsidRDefault="00864959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AF5D8E" w:rsidRDefault="0086495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</w:t>
      </w:r>
      <w:r>
        <w:t>avadních právních předpisů.</w:t>
      </w:r>
    </w:p>
    <w:p w:rsidR="00AF5D8E" w:rsidRDefault="00864959">
      <w:pPr>
        <w:pStyle w:val="Odstavec"/>
        <w:numPr>
          <w:ilvl w:val="0"/>
          <w:numId w:val="1"/>
        </w:numPr>
      </w:pPr>
      <w:r>
        <w:t>Zrušuje se obecně závazná vyhláška č. 4/2019, o místním poplatk</w:t>
      </w:r>
      <w:r w:rsidR="00C74458">
        <w:t>u</w:t>
      </w:r>
      <w:r>
        <w:t xml:space="preserve"> ze psů, ze dne </w:t>
      </w:r>
      <w:r w:rsidR="00F00055">
        <w:t xml:space="preserve">                      </w:t>
      </w:r>
      <w:r>
        <w:t>12. prosince 2019.</w:t>
      </w:r>
    </w:p>
    <w:p w:rsidR="00AF5D8E" w:rsidRDefault="00864959">
      <w:pPr>
        <w:pStyle w:val="Odstavec"/>
        <w:numPr>
          <w:ilvl w:val="0"/>
          <w:numId w:val="1"/>
        </w:numPr>
      </w:pPr>
      <w:r>
        <w:t xml:space="preserve">Zrušuje se obecně závazná vyhláška č. 1/2020, kterou se mění a doplňuje obecně závazná vyhláška č. 4/2019 o místním poplatků ze </w:t>
      </w:r>
      <w:r>
        <w:t>psů, ze dne 20. února 2020.</w:t>
      </w:r>
    </w:p>
    <w:p w:rsidR="00AF5D8E" w:rsidRDefault="00864959">
      <w:pPr>
        <w:pStyle w:val="Nadpis2"/>
      </w:pPr>
      <w:r>
        <w:t>Čl. 8</w:t>
      </w:r>
      <w:r>
        <w:br/>
      </w:r>
      <w:r>
        <w:t>Účinnost</w:t>
      </w:r>
    </w:p>
    <w:p w:rsidR="00AF5D8E" w:rsidRDefault="0086495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F5D8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5D8E" w:rsidRDefault="00864959">
            <w:pPr>
              <w:pStyle w:val="PodpisovePole"/>
            </w:pPr>
            <w:r>
              <w:t xml:space="preserve">Ing. Daniel </w:t>
            </w:r>
            <w:proofErr w:type="spellStart"/>
            <w:r>
              <w:t>Vitonský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5D8E" w:rsidRDefault="00864959">
            <w:pPr>
              <w:pStyle w:val="PodpisovePole"/>
            </w:pPr>
            <w:r>
              <w:t xml:space="preserve">Mgr. Karel </w:t>
            </w:r>
            <w:proofErr w:type="spellStart"/>
            <w:r>
              <w:t>Machyl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AF5D8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5D8E" w:rsidRDefault="00AF5D8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5D8E" w:rsidRDefault="00AF5D8E">
            <w:pPr>
              <w:pStyle w:val="PodpisovePole"/>
            </w:pPr>
          </w:p>
        </w:tc>
      </w:tr>
    </w:tbl>
    <w:p w:rsidR="00864959" w:rsidRDefault="00864959"/>
    <w:sectPr w:rsidR="0086495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959" w:rsidRDefault="00864959">
      <w:r>
        <w:separator/>
      </w:r>
    </w:p>
  </w:endnote>
  <w:endnote w:type="continuationSeparator" w:id="0">
    <w:p w:rsidR="00864959" w:rsidRDefault="0086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959" w:rsidRDefault="00864959">
      <w:r>
        <w:rPr>
          <w:color w:val="000000"/>
        </w:rPr>
        <w:separator/>
      </w:r>
    </w:p>
  </w:footnote>
  <w:footnote w:type="continuationSeparator" w:id="0">
    <w:p w:rsidR="00864959" w:rsidRDefault="00864959">
      <w:r>
        <w:continuationSeparator/>
      </w:r>
    </w:p>
  </w:footnote>
  <w:footnote w:id="1">
    <w:p w:rsidR="00AF5D8E" w:rsidRDefault="00864959">
      <w:pPr>
        <w:pStyle w:val="Footnote"/>
      </w:pPr>
      <w:r>
        <w:rPr>
          <w:rStyle w:val="Znakapoznpodarou"/>
        </w:rPr>
        <w:footnoteRef/>
      </w:r>
      <w:r>
        <w:t>§ 2 odst. 5 zákona o m</w:t>
      </w:r>
      <w:r>
        <w:t>ístních poplatcích</w:t>
      </w:r>
    </w:p>
  </w:footnote>
  <w:footnote w:id="2">
    <w:p w:rsidR="00AF5D8E" w:rsidRDefault="0086495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F5D8E" w:rsidRDefault="00864959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AF5D8E" w:rsidRDefault="00864959">
      <w:pPr>
        <w:pStyle w:val="Footnote"/>
      </w:pPr>
      <w:r>
        <w:rPr>
          <w:rStyle w:val="Znakapoznpodarou"/>
        </w:rPr>
        <w:footnoteRef/>
      </w:r>
      <w:r>
        <w:t>§ 2 odst. 2 zákona o mís</w:t>
      </w:r>
      <w:r>
        <w:t>tních poplatcích</w:t>
      </w:r>
    </w:p>
  </w:footnote>
  <w:footnote w:id="5">
    <w:p w:rsidR="00AF5D8E" w:rsidRDefault="00864959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 místních poplatcích; v ohlášení poplatník uvede zejména své identifikační údaje a skutečnosti rozhodné pro stanovení poplatku</w:t>
      </w:r>
    </w:p>
  </w:footnote>
  <w:footnote w:id="6">
    <w:p w:rsidR="00AF5D8E" w:rsidRDefault="00864959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7">
    <w:p w:rsidR="00AF5D8E" w:rsidRDefault="00864959">
      <w:pPr>
        <w:pStyle w:val="Footnote"/>
      </w:pPr>
      <w:r>
        <w:rPr>
          <w:rStyle w:val="Znakapoznpodarou"/>
        </w:rPr>
        <w:footnoteRef/>
      </w:r>
      <w:r>
        <w:t>§ 2 odst. 3 zákona o mí</w:t>
      </w:r>
      <w:r>
        <w:t>stních poplatcích</w:t>
      </w:r>
    </w:p>
  </w:footnote>
  <w:footnote w:id="8">
    <w:p w:rsidR="00AF5D8E" w:rsidRDefault="00864959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AF5D8E" w:rsidRDefault="00864959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81F51"/>
    <w:multiLevelType w:val="multilevel"/>
    <w:tmpl w:val="4880DC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5D8E"/>
    <w:rsid w:val="00327BC7"/>
    <w:rsid w:val="004211DD"/>
    <w:rsid w:val="00864959"/>
    <w:rsid w:val="00AF5D8E"/>
    <w:rsid w:val="00C74458"/>
    <w:rsid w:val="00D24059"/>
    <w:rsid w:val="00F0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2849EA"/>
  <w15:docId w15:val="{7099D9F4-CDD9-4214-B9A3-CAA05CE1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635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Hranice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Nehybová Jana</dc:creator>
  <cp:lastModifiedBy>Nehybová Jana</cp:lastModifiedBy>
  <cp:revision>4</cp:revision>
  <cp:lastPrinted>2023-10-23T09:34:00Z</cp:lastPrinted>
  <dcterms:created xsi:type="dcterms:W3CDTF">2023-10-23T09:34:00Z</dcterms:created>
  <dcterms:modified xsi:type="dcterms:W3CDTF">2023-10-23T10:52:00Z</dcterms:modified>
</cp:coreProperties>
</file>