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M O U Š I C E 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ZASTUPITELSTVO OBCE DOMOUŠICE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8"/>
          <w:szCs w:val="28"/>
          <w:lang w:val="cs-CZ"/>
        </w:rPr>
      </w:pPr>
      <w:r>
        <w:rPr>
          <w:rFonts w:eastAsia="MS Mincho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MS Mincho" w:ascii="Times New Roman" w:hAnsi="Times New Roman"/>
          <w:b/>
          <w:bCs/>
          <w:sz w:val="28"/>
          <w:szCs w:val="28"/>
        </w:rPr>
        <w:t xml:space="preserve">kterou se stanoví 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eastAsia="MS Mincho" w:ascii="Times New Roman" w:hAnsi="Times New Roman"/>
          <w:b/>
          <w:bCs/>
          <w:sz w:val="28"/>
          <w:szCs w:val="28"/>
        </w:rPr>
        <w:t>systém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 odpadového hospodářství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i/>
          <w:i/>
        </w:rPr>
      </w:pPr>
      <w:r>
        <w:rPr>
          <w:i/>
        </w:rPr>
        <w:t xml:space="preserve">Zastupitelstvo obce </w:t>
      </w:r>
      <w:r>
        <w:rPr>
          <w:bCs/>
          <w:i/>
        </w:rPr>
        <w:t>Domoušice</w:t>
      </w:r>
      <w:r>
        <w:rPr>
          <w:b/>
          <w:bCs/>
          <w:i/>
        </w:rPr>
        <w:t xml:space="preserve"> </w:t>
      </w:r>
      <w:r>
        <w:rPr>
          <w:i/>
        </w:rPr>
        <w:t xml:space="preserve">se na svém zasedání konaném dne 12. února 2026 usneslo vydat na základě § 59 odst. 4 a 5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Článek 1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Předmět a působnost vyhlášky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Tato vyhláška stanoví obecní systém odpadového hospodářství na území obce Domoušice (dále jen „obecní systém odpadového hospodářství“).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Tato vyhláška rovněž stanoví místa, kde obec Domoušice (dále jen „obec“) přebírá komunální odpad vznikající na území obce při činnosti právnických a podnikajících fyzických osob, které se zapojí do obecního systému na základě písemné smlouvy.</w:t>
      </w:r>
    </w:p>
    <w:p>
      <w:pPr>
        <w:pStyle w:val="Normal"/>
        <w:jc w:val="both"/>
        <w:rPr/>
      </w:pPr>
      <w:r>
        <w:rPr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>
      <w:pPr>
        <w:pStyle w:val="BodyText2"/>
        <w:tabs>
          <w:tab w:val="clear" w:pos="709"/>
          <w:tab w:val="left" w:pos="4172" w:leader="none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Plasty</w:t>
      </w:r>
      <w:r>
        <w:rPr/>
        <w:t xml:space="preserve"> se pro účely této vyhlášky rozumí všechny plasty včetně PET lahví.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Nápojovými kartony</w:t>
      </w:r>
      <w:r>
        <w:rPr/>
        <w:t xml:space="preserve"> </w:t>
      </w:r>
      <w:r>
        <w:rPr>
          <w:color w:val="000000"/>
        </w:rPr>
        <w:t>se pro účely této vyhlášky rozumí</w:t>
      </w:r>
      <w:r>
        <w:rPr/>
        <w:t xml:space="preserve"> kompozitní (vícesložkové) obaly (např. od mléka, vína, džusů a jiných poživatin).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>Biologicky rozložitelným odpadem</w:t>
      </w:r>
      <w:r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Ukotvenpoznmkypodarou"/>
          <w:bCs/>
          <w:vertAlign w:val="superscript"/>
        </w:rPr>
        <w:footnoteReference w:id="2"/>
      </w:r>
      <w:r>
        <w:rPr>
          <w:bCs/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>je složka komunálního odpadu, která zůstává po vytřídění složek komunálního odpadu uvedených v čl. 3 písm. a) až k) této vyhlášky.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rPr/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>.</w:t>
      </w:r>
      <w:r>
        <w:rPr/>
        <w:t xml:space="preserve"> Aktuální seznam stanovišť zvláštních sběrných nádob je zveřejněn na webových stránkách obce.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suppressAutoHyphens w:val="true"/>
        <w:jc w:val="both"/>
        <w:rPr>
          <w:color w:val="000000"/>
        </w:rPr>
      </w:pPr>
      <w:r>
        <w:rPr>
          <w:b/>
          <w:color w:val="000000"/>
        </w:rPr>
        <w:t xml:space="preserve">Sběrný dvůr </w:t>
      </w:r>
      <w:r>
        <w:rPr>
          <w:color w:val="000000"/>
        </w:rPr>
        <w:t xml:space="preserve">je místo, </w:t>
      </w:r>
      <w:r>
        <w:rPr/>
        <w:t xml:space="preserve">které slouží k odkládání určených složek komunálního odpadu do shromažďovacích prostředků </w:t>
      </w:r>
      <w:r>
        <w:rPr>
          <w:color w:val="000000"/>
        </w:rPr>
        <w:t>během provozní doby zveřejněné na webových stránkách obce</w:t>
      </w:r>
      <w:r>
        <w:rPr/>
        <w:t xml:space="preserve">. </w:t>
      </w:r>
      <w:r>
        <w:rPr>
          <w:color w:val="000000"/>
        </w:rPr>
        <w:t>Nachází se v areálu č. p. 31 a 32.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eastAsia="Arial"/>
        </w:rPr>
      </w:pPr>
      <w:r>
        <w:rPr/>
        <w:t>Komunální odpad se v obecním systému odpadového hospodářství třídí na tyto složky: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 xml:space="preserve">papír;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sklo;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plasty;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PET lahve;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nápojové kartony;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kovy;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textil;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biologicky rozložitelný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jedlé oleje a tuky;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objemný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nebezpečný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směsný komunální odpad.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highlight w:val="yellow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highlight w:val="yellow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4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ísta určená 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soustřeďování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složek komunálního odpadu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Jednotlivé složky komunálního odpadu se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soustřeďují</w:t>
      </w:r>
      <w:r>
        <w:rPr>
          <w:rFonts w:eastAsia="MS Mincho" w:ascii="Times New Roman" w:hAnsi="Times New Roman"/>
          <w:bCs/>
          <w:sz w:val="24"/>
          <w:szCs w:val="24"/>
        </w:rPr>
        <w:t>:</w:t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 zvláštních sběrných nádob;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sklo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(zvon zelené barvy nebo výklopný kontejner o objemu 1100 litrů zelené barvy) umístěných na stanovištích zvláštních sběrných nádob;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plasty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(zvon žluté barvy nebo výklopný kontejner o objemu 1100 litrů žluté barvy) umístěných na stanovištích zvláštních sběrných nádob;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PET lahve, nápojové kartony a plechovky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igelitových pytlů (vydávaných zdarma Obecním úřadem Domoušice), které jsou po naplnění umísťovány k odvozu (jednou za 14 dní v den svozu směsného komunálního odpadu) k typizovaným sběrným nádobám na směsný komunální odpad;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dvoře;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– celoročně do kontejneru o objemu 12 m</w:t>
      </w:r>
      <w:r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„BIOODPAD“ umístěného ve sběrném dvoře;</w:t>
      </w:r>
    </w:p>
    <w:p>
      <w:pPr>
        <w:pStyle w:val="Prosttext1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jedlé oleje a tuky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– do zvláštní sběrné nádoby s nápisem „JEDLE OLEJE A TUKY“ umístěné ve sběrném dvoře;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umístěné na návsi v Domoušicích a v Solopyskách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nebezpečn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ý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odpad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zvláštních sběrných nádob umístěných ve sběrném dvoře,</w:t>
      </w:r>
    </w:p>
    <w:p>
      <w:pPr>
        <w:pStyle w:val="PlainText"/>
        <w:numPr>
          <w:ilvl w:val="0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směsný komunální odpad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</w:p>
    <w:p>
      <w:pPr>
        <w:pStyle w:val="PlainText"/>
        <w:numPr>
          <w:ilvl w:val="0"/>
          <w:numId w:val="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>
        <w:rPr>
          <w:rFonts w:ascii="Times New Roman" w:hAnsi="Times New Roman"/>
          <w:sz w:val="24"/>
          <w:szCs w:val="24"/>
        </w:rPr>
        <w:t>popelnice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>objemu 120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litrů)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>
      <w:pPr>
        <w:pStyle w:val="PlainText"/>
        <w:numPr>
          <w:ilvl w:val="0"/>
          <w:numId w:val="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 případě nemovitostí, kde není nikdo přihlášen k pobytu, do plastových zelených pytlů vydávaných Obecním úřadem Domoušice v počtu 10 ks/nemovitost,</w:t>
      </w:r>
    </w:p>
    <w:p>
      <w:pPr>
        <w:pStyle w:val="PlainText"/>
        <w:numPr>
          <w:ilvl w:val="0"/>
          <w:numId w:val="6"/>
        </w:numPr>
        <w:ind w:left="1077" w:hanging="357"/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do kovových kontejnerů umístěných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ve sběrném dvoře</w:t>
      </w:r>
      <w:r>
        <w:rPr>
          <w:rFonts w:eastAsia="MS Mincho" w:ascii="Times New Roman" w:hAnsi="Times New Roman"/>
          <w:bCs/>
          <w:sz w:val="24"/>
          <w:szCs w:val="24"/>
        </w:rPr>
        <w:t xml:space="preserve">, </w:t>
      </w:r>
    </w:p>
    <w:p>
      <w:pPr>
        <w:pStyle w:val="PlainText"/>
        <w:numPr>
          <w:ilvl w:val="0"/>
          <w:numId w:val="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>do odpadkových košů rozmístěných na veřejném prostranství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 </w:t>
      </w:r>
      <w:r>
        <w:rPr>
          <w:rFonts w:eastAsia="MS Mincho" w:ascii="Times New Roman" w:hAnsi="Times New Roman"/>
          <w:bCs/>
          <w:sz w:val="24"/>
          <w:szCs w:val="24"/>
        </w:rPr>
        <w:t>- pouze drobný směsný komunální odpad vzniklý n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a </w:t>
      </w:r>
      <w:r>
        <w:rPr>
          <w:rFonts w:eastAsia="MS Mincho" w:ascii="Times New Roman" w:hAnsi="Times New Roman"/>
          <w:bCs/>
          <w:sz w:val="24"/>
          <w:szCs w:val="24"/>
        </w:rPr>
        <w:t>veřejném prostranstv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í.</w:t>
      </w:r>
    </w:p>
    <w:p>
      <w:pPr>
        <w:pStyle w:val="PlainText"/>
        <w:numPr>
          <w:ilvl w:val="0"/>
          <w:numId w:val="0"/>
        </w:numPr>
        <w:ind w:left="1077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lang w:val="cs-CZ"/>
        </w:rPr>
        <w:t>5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</w:rPr>
      </w:pPr>
      <w:r>
        <w:rPr>
          <w:rFonts w:eastAsia="MS Mincho" w:ascii="Times New Roman" w:hAnsi="Times New Roman"/>
          <w:b/>
          <w:sz w:val="24"/>
        </w:rPr>
        <w:t>Povinnosti osob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Osoby jsou povinny: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komunální odpad třídit na složky uvedené v článku 3 a odkládat na místa určená k </w:t>
      </w:r>
      <w:r>
        <w:rPr>
          <w:rFonts w:eastAsia="MS Mincho" w:ascii="Times New Roman" w:hAnsi="Times New Roman"/>
          <w:bCs/>
          <w:sz w:val="24"/>
          <w:lang w:val="cs-CZ"/>
        </w:rPr>
        <w:t>soustřeďování</w:t>
      </w:r>
      <w:r>
        <w:rPr>
          <w:rFonts w:eastAsia="MS Mincho" w:ascii="Times New Roman" w:hAnsi="Times New Roman"/>
          <w:bCs/>
          <w:sz w:val="24"/>
        </w:rPr>
        <w:t xml:space="preserve"> </w:t>
      </w:r>
      <w:r>
        <w:rPr>
          <w:rFonts w:eastAsia="MS Mincho" w:ascii="Times New Roman" w:hAnsi="Times New Roman"/>
          <w:bCs/>
          <w:sz w:val="24"/>
          <w:lang w:val="cs-CZ"/>
        </w:rPr>
        <w:t xml:space="preserve">jednotlivých složek </w:t>
      </w:r>
      <w:r>
        <w:rPr>
          <w:rFonts w:eastAsia="MS Mincho" w:ascii="Times New Roman" w:hAnsi="Times New Roman"/>
          <w:bCs/>
          <w:sz w:val="24"/>
        </w:rPr>
        <w:t>komunálního odpadu dle článku 4 vyhlášky,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 xml:space="preserve">nezhutňovat a neudupávat odpad </w:t>
      </w:r>
      <w:r>
        <w:rPr>
          <w:rFonts w:eastAsia="MS Mincho" w:ascii="Times New Roman" w:hAnsi="Times New Roman"/>
          <w:bCs/>
          <w:sz w:val="24"/>
        </w:rPr>
        <w:t>ve sběrných nádobách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plnit sběrné nádoby tak, aby je bylo možno uzavřít a odpad z nich při manipulaci nevypadával.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6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Cs w:val="24"/>
        </w:rPr>
      </w:pPr>
      <w:r>
        <w:rPr>
          <w:rFonts w:eastAsia="MS Mincho" w:ascii="Times New Roman" w:hAnsi="Times New Roman"/>
          <w:b/>
          <w:bCs/>
          <w:szCs w:val="24"/>
        </w:rPr>
      </w:r>
    </w:p>
    <w:p>
      <w:pPr>
        <w:pStyle w:val="PlainText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Obec přebírá směsný komunální odpad vznikající na území obce při činnosti právnických a podnikajících fyzických osob zapojených do obecního systému na základě písemné smlouvy s obcí (dále jen „osoba“), a to do zvláštních sběrných nádob zajištěných takovou osobou na své vlastní náklady a určených výhradně pro takovou osobu.</w:t>
      </w:r>
    </w:p>
    <w:p>
      <w:pPr>
        <w:pStyle w:val="PlainText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Výše úhrady za zapojení do obecního systému se stanoví podle platného ceníku zveřejněného na webových stránkách obce.</w:t>
      </w:r>
    </w:p>
    <w:p>
      <w:pPr>
        <w:pStyle w:val="PlainText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Úhrada se vybírá v hotovosti nebo převodem na účet, a to jedenkrát ročně.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7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Cs w:val="24"/>
          <w:lang w:val="cs-CZ"/>
        </w:rPr>
      </w:pPr>
      <w:r>
        <w:rPr>
          <w:rFonts w:eastAsia="MS Mincho" w:ascii="Times New Roman" w:hAnsi="Times New Roman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Zrušuje se Obecně závazná vyhláška</w:t>
      </w:r>
      <w:r>
        <w:rPr>
          <w:rFonts w:eastAsia="MS Mincho" w:ascii="Times New Roman" w:hAnsi="Times New Roman"/>
          <w:sz w:val="24"/>
          <w:szCs w:val="24"/>
          <w:lang w:val="cs-CZ"/>
        </w:rPr>
        <w:t>, kterou se stanoví obecní systém odpadového hospodářství ze dne 7. prosince 2023.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lang w:val="cs-CZ"/>
        </w:rPr>
      </w:pPr>
      <w:r>
        <w:rPr>
          <w:rFonts w:eastAsia="MS Mincho" w:ascii="Times New Roman" w:hAnsi="Times New Roman"/>
          <w:b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8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Cs w:val="24"/>
        </w:rPr>
      </w:pPr>
      <w:r>
        <w:rPr>
          <w:rFonts w:eastAsia="MS Mincho" w:ascii="Times New Roman" w:hAnsi="Times New Roman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počátkem</w:t>
      </w:r>
      <w:r>
        <w:rPr>
          <w:rFonts w:eastAsia="MS Mincho" w:ascii="Times New Roman" w:hAnsi="Times New Roman"/>
          <w:sz w:val="24"/>
          <w:szCs w:val="24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eastAsia="MS Mincho" w:ascii="Times New Roman" w:hAnsi="Times New Roman"/>
          <w:sz w:val="24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Josef Lusk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Zdeněk Kutner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footnotePr>
        <w:numFmt w:val="decimal"/>
      </w:footnotePr>
      <w:type w:val="nextPage"/>
      <w:pgSz w:w="11906" w:h="16838"/>
      <w:pgMar w:left="1418" w:right="1418" w:gutter="0" w:header="0" w:top="1077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rPr/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</w:num>
  <w:num w:numId="11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c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link w:val="Plain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Body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>
      <w:vertAlign w:val="superscript"/>
    </w:rPr>
  </w:style>
  <w:style w:type="character" w:styleId="TextpoznpodarouChar" w:customStyle="1">
    <w:name w:val="Text pozn. pod čarou Char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Body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Internetovodkaz">
    <w:name w:val="Hyperlink"/>
    <w:rsid w:val="007737e0"/>
    <w:rPr>
      <w:color w:val="0000FF"/>
      <w:u w:val="single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Poznmkapodarou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>
      <w:suppressAutoHyphens w:val="true"/>
    </w:pPr>
    <w:rPr>
      <w:rFonts w:ascii="Courier New" w:hAnsi="Courier New"/>
      <w:sz w:val="20"/>
      <w:szCs w:val="20"/>
      <w:lang w:val="x-none"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F01-6D8C-47A5-AEF2-660BAFF8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LibreOffice/7.5.6.2$Windows_X86_64 LibreOffice_project/f654817fb68d6d4600d7d2f6b647e47729f55f15</Application>
  <AppVersion>15.0000</AppVersion>
  <Pages>3</Pages>
  <Words>1039</Words>
  <Characters>5941</Characters>
  <CharactersWithSpaces>6882</CharactersWithSpaces>
  <Paragraphs>78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2022-04-06T05:57:00Z</dcterms:created>
  <dc:creator>Urad</dc:creator>
  <dc:description/>
  <dc:language>cs-CZ</dc:language>
  <cp:lastModifiedBy/>
  <cp:lastPrinted>2026-01-28T15:27:40Z</cp:lastPrinted>
  <dcterms:modified xsi:type="dcterms:W3CDTF">2026-02-06T12:17:42Z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