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ind w:left="2880" w:firstLine="720"/>
        <w:jc w:val="left"/>
        <w:rPr>
          <w:rFonts w:ascii="Arial" w:cs="Arial" w:eastAsia="Arial" w:hAnsi="Arial"/>
          <w:b w:val="1"/>
        </w:rPr>
      </w:pPr>
      <w:r w:rsidDel="00000000" w:rsidR="00000000" w:rsidRPr="00000000">
        <w:rPr>
          <w:rFonts w:ascii="Arial" w:cs="Arial" w:eastAsia="Arial" w:hAnsi="Arial"/>
          <w:b w:val="1"/>
          <w:rtl w:val="0"/>
        </w:rPr>
        <w:t xml:space="preserve">MĚSTYS ŠKVOREC</w:t>
      </w:r>
      <w:r w:rsidDel="00000000" w:rsidR="00000000" w:rsidRPr="00000000">
        <w:rPr>
          <w:rtl w:val="0"/>
        </w:rPr>
      </w:r>
    </w:p>
    <w:p w:rsidR="00000000" w:rsidDel="00000000" w:rsidP="00000000" w:rsidRDefault="00000000" w:rsidRPr="00000000" w14:paraId="00000002">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Zastupitelstvo městyse Škvorec</w:t>
      </w:r>
    </w:p>
    <w:p w:rsidR="00000000" w:rsidDel="00000000" w:rsidP="00000000" w:rsidRDefault="00000000" w:rsidRPr="00000000" w14:paraId="00000003">
      <w:pPr>
        <w:spacing w:line="276"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4">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Obecně závazná vyhláška městyse Škvorec</w:t>
      </w:r>
    </w:p>
    <w:p w:rsidR="00000000" w:rsidDel="00000000" w:rsidP="00000000" w:rsidRDefault="00000000" w:rsidRPr="00000000" w14:paraId="00000005">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o místním poplatku ze psů</w:t>
      </w:r>
    </w:p>
    <w:p w:rsidR="00000000" w:rsidDel="00000000" w:rsidP="00000000" w:rsidRDefault="00000000" w:rsidRPr="00000000" w14:paraId="00000006">
      <w:pPr>
        <w:spacing w:line="276"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7">
      <w:pPr>
        <w:spacing w:line="288"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Zastupitelstvo městyse Škvorec se na svém zasedání dne </w:t>
      </w:r>
      <w:r w:rsidDel="00000000" w:rsidR="00000000" w:rsidRPr="00000000">
        <w:rPr>
          <w:rFonts w:ascii="Arial" w:cs="Arial" w:eastAsia="Arial" w:hAnsi="Arial"/>
          <w:sz w:val="22"/>
          <w:szCs w:val="22"/>
          <w:rtl w:val="0"/>
        </w:rPr>
        <w:t xml:space="preserve">7. 11.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 </w:t>
      </w:r>
    </w:p>
    <w:p w:rsidR="00000000" w:rsidDel="00000000" w:rsidP="00000000" w:rsidRDefault="00000000" w:rsidRPr="00000000" w14:paraId="00000008">
      <w:pPr>
        <w:keepNext w:val="1"/>
        <w:keepLines w:val="1"/>
        <w:pBdr>
          <w:top w:space="0" w:sz="0" w:val="nil"/>
          <w:left w:space="0" w:sz="0" w:val="nil"/>
          <w:bottom w:space="0" w:sz="0" w:val="nil"/>
          <w:right w:space="0" w:sz="0" w:val="nil"/>
          <w:between w:space="0" w:sz="0" w:val="nil"/>
        </w:pBdr>
        <w:spacing w:after="60" w:before="48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Čl. 1</w:t>
      </w:r>
    </w:p>
    <w:p w:rsidR="00000000" w:rsidDel="00000000" w:rsidP="00000000" w:rsidRDefault="00000000" w:rsidRPr="00000000" w14:paraId="00000009">
      <w:pPr>
        <w:keepNext w:val="1"/>
        <w:keepLines w:val="1"/>
        <w:pBdr>
          <w:top w:space="0" w:sz="0" w:val="nil"/>
          <w:left w:space="0" w:sz="0" w:val="nil"/>
          <w:bottom w:space="0" w:sz="0" w:val="nil"/>
          <w:right w:space="0" w:sz="0" w:val="nil"/>
          <w:between w:space="0" w:sz="0" w:val="nil"/>
        </w:pBdr>
        <w:spacing w:after="160" w:before="6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Úvodní ustanovení</w:t>
      </w:r>
    </w:p>
    <w:p w:rsidR="00000000" w:rsidDel="00000000" w:rsidP="00000000" w:rsidRDefault="00000000" w:rsidRPr="00000000" w14:paraId="0000000A">
      <w:pPr>
        <w:numPr>
          <w:ilvl w:val="0"/>
          <w:numId w:val="3"/>
        </w:numPr>
        <w:spacing w:before="120" w:line="288" w:lineRule="auto"/>
        <w:ind w:left="567" w:hanging="56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Městys Škvorec touto vyhláškou zavádí místní poplatek ze psů (dále jen „poplatek“).</w:t>
      </w:r>
    </w:p>
    <w:p w:rsidR="00000000" w:rsidDel="00000000" w:rsidP="00000000" w:rsidRDefault="00000000" w:rsidRPr="00000000" w14:paraId="0000000B">
      <w:pPr>
        <w:numPr>
          <w:ilvl w:val="0"/>
          <w:numId w:val="3"/>
        </w:numPr>
        <w:spacing w:before="120" w:lineRule="auto"/>
        <w:ind w:left="567" w:hanging="567"/>
        <w:rPr>
          <w:rFonts w:ascii="Arial" w:cs="Arial" w:eastAsia="Arial" w:hAnsi="Arial"/>
          <w:sz w:val="22"/>
          <w:szCs w:val="22"/>
        </w:rPr>
      </w:pPr>
      <w:r w:rsidDel="00000000" w:rsidR="00000000" w:rsidRPr="00000000">
        <w:rPr>
          <w:rFonts w:ascii="Arial" w:cs="Arial" w:eastAsia="Arial" w:hAnsi="Arial"/>
          <w:sz w:val="22"/>
          <w:szCs w:val="22"/>
          <w:rtl w:val="0"/>
        </w:rPr>
        <w:t xml:space="preserve">Poplatkovým obdobím poplatku je kalendářní rok.</w:t>
      </w:r>
      <w:r w:rsidDel="00000000" w:rsidR="00000000" w:rsidRPr="00000000">
        <w:rPr>
          <w:rFonts w:ascii="Arial" w:cs="Arial" w:eastAsia="Arial" w:hAnsi="Arial"/>
          <w:sz w:val="22"/>
          <w:szCs w:val="22"/>
          <w:vertAlign w:val="superscript"/>
        </w:rPr>
        <w:footnoteReference w:customMarkFollows="0" w:id="0"/>
      </w:r>
      <w:r w:rsidDel="00000000" w:rsidR="00000000" w:rsidRPr="00000000">
        <w:rPr>
          <w:rtl w:val="0"/>
        </w:rPr>
      </w:r>
    </w:p>
    <w:p w:rsidR="00000000" w:rsidDel="00000000" w:rsidP="00000000" w:rsidRDefault="00000000" w:rsidRPr="00000000" w14:paraId="0000000C">
      <w:pPr>
        <w:numPr>
          <w:ilvl w:val="0"/>
          <w:numId w:val="3"/>
        </w:numPr>
        <w:spacing w:before="120" w:line="288" w:lineRule="auto"/>
        <w:ind w:left="567" w:hanging="56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Správcem poplatku je úřad městyse.</w:t>
      </w:r>
      <w:r w:rsidDel="00000000" w:rsidR="00000000" w:rsidRPr="00000000">
        <w:rPr>
          <w:rFonts w:ascii="Arial" w:cs="Arial" w:eastAsia="Arial" w:hAnsi="Arial"/>
          <w:sz w:val="22"/>
          <w:szCs w:val="22"/>
          <w:vertAlign w:val="superscript"/>
        </w:rPr>
        <w:footnoteReference w:customMarkFollows="0" w:id="1"/>
      </w:r>
      <w:r w:rsidDel="00000000" w:rsidR="00000000" w:rsidRPr="00000000">
        <w:rPr>
          <w:rtl w:val="0"/>
        </w:rPr>
      </w:r>
    </w:p>
    <w:p w:rsidR="00000000" w:rsidDel="00000000" w:rsidP="00000000" w:rsidRDefault="00000000" w:rsidRPr="00000000" w14:paraId="0000000D">
      <w:pPr>
        <w:keepNext w:val="1"/>
        <w:keepLines w:val="1"/>
        <w:pBdr>
          <w:top w:space="0" w:sz="0" w:val="nil"/>
          <w:left w:space="0" w:sz="0" w:val="nil"/>
          <w:bottom w:space="0" w:sz="0" w:val="nil"/>
          <w:right w:space="0" w:sz="0" w:val="nil"/>
          <w:between w:space="0" w:sz="0" w:val="nil"/>
        </w:pBdr>
        <w:spacing w:after="60" w:before="48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Čl. 2</w:t>
      </w:r>
    </w:p>
    <w:p w:rsidR="00000000" w:rsidDel="00000000" w:rsidP="00000000" w:rsidRDefault="00000000" w:rsidRPr="00000000" w14:paraId="0000000E">
      <w:pPr>
        <w:keepNext w:val="1"/>
        <w:keepLines w:val="1"/>
        <w:pBdr>
          <w:top w:space="0" w:sz="0" w:val="nil"/>
          <w:left w:space="0" w:sz="0" w:val="nil"/>
          <w:bottom w:space="0" w:sz="0" w:val="nil"/>
          <w:right w:space="0" w:sz="0" w:val="nil"/>
          <w:between w:space="0" w:sz="0" w:val="nil"/>
        </w:pBdr>
        <w:spacing w:after="160" w:before="6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Poplatník a předmět poplatku</w:t>
      </w:r>
    </w:p>
    <w:p w:rsidR="00000000" w:rsidDel="00000000" w:rsidP="00000000" w:rsidRDefault="00000000" w:rsidRPr="00000000" w14:paraId="0000000F">
      <w:pPr>
        <w:numPr>
          <w:ilvl w:val="0"/>
          <w:numId w:val="6"/>
        </w:numPr>
        <w:spacing w:before="120" w:line="288" w:lineRule="auto"/>
        <w:ind w:left="567" w:hanging="567"/>
        <w:jc w:val="both"/>
        <w:rPr/>
      </w:pPr>
      <w:r w:rsidDel="00000000" w:rsidR="00000000" w:rsidRPr="00000000">
        <w:rPr>
          <w:rFonts w:ascii="Arial" w:cs="Arial" w:eastAsia="Arial" w:hAnsi="Arial"/>
          <w:sz w:val="22"/>
          <w:szCs w:val="22"/>
          <w:rtl w:val="0"/>
        </w:rPr>
        <w:t xml:space="preserve">Poplatek ze psů platí držitel psa. Držitelem je pro účely tohoto poplatku osoba, která je přihlášena nebo má sídlo na území České republiky (dále jen „poplatník“);</w:t>
      </w:r>
      <w:r w:rsidDel="00000000" w:rsidR="00000000" w:rsidRPr="00000000">
        <w:rPr>
          <w:rtl w:val="0"/>
        </w:rPr>
        <w:t xml:space="preserve"> </w:t>
      </w:r>
      <w:r w:rsidDel="00000000" w:rsidR="00000000" w:rsidRPr="00000000">
        <w:rPr>
          <w:rFonts w:ascii="Arial" w:cs="Arial" w:eastAsia="Arial" w:hAnsi="Arial"/>
          <w:sz w:val="22"/>
          <w:szCs w:val="22"/>
          <w:rtl w:val="0"/>
        </w:rPr>
        <w:t xml:space="preserve">poplatek ze psů platí poplatník městysi příslušnému podle svého místa přihlášení nebo sídla.</w:t>
      </w:r>
      <w:r w:rsidDel="00000000" w:rsidR="00000000" w:rsidRPr="00000000">
        <w:rPr>
          <w:rFonts w:ascii="Arial" w:cs="Arial" w:eastAsia="Arial" w:hAnsi="Arial"/>
          <w:sz w:val="22"/>
          <w:szCs w:val="22"/>
          <w:vertAlign w:val="superscript"/>
        </w:rPr>
        <w:footnoteReference w:customMarkFollows="0" w:id="2"/>
      </w:r>
      <w:r w:rsidDel="00000000" w:rsidR="00000000" w:rsidRPr="00000000">
        <w:rPr>
          <w:rtl w:val="0"/>
        </w:rPr>
      </w:r>
    </w:p>
    <w:p w:rsidR="00000000" w:rsidDel="00000000" w:rsidP="00000000" w:rsidRDefault="00000000" w:rsidRPr="00000000" w14:paraId="00000010">
      <w:pPr>
        <w:numPr>
          <w:ilvl w:val="0"/>
          <w:numId w:val="6"/>
        </w:numPr>
        <w:spacing w:before="120" w:line="288" w:lineRule="auto"/>
        <w:ind w:left="567" w:hanging="56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Poplatek ze psů se platí ze psů starších 3 měsíců.</w:t>
      </w:r>
      <w:r w:rsidDel="00000000" w:rsidR="00000000" w:rsidRPr="00000000">
        <w:rPr>
          <w:rFonts w:ascii="Arial" w:cs="Arial" w:eastAsia="Arial" w:hAnsi="Arial"/>
          <w:sz w:val="22"/>
          <w:szCs w:val="22"/>
          <w:vertAlign w:val="superscript"/>
        </w:rPr>
        <w:footnoteReference w:customMarkFollows="0" w:id="3"/>
      </w:r>
      <w:r w:rsidDel="00000000" w:rsidR="00000000" w:rsidRPr="00000000">
        <w:rPr>
          <w:rtl w:val="0"/>
        </w:rPr>
      </w:r>
    </w:p>
    <w:p w:rsidR="00000000" w:rsidDel="00000000" w:rsidP="00000000" w:rsidRDefault="00000000" w:rsidRPr="00000000" w14:paraId="00000011">
      <w:pPr>
        <w:keepNext w:val="1"/>
        <w:keepLines w:val="1"/>
        <w:pBdr>
          <w:top w:space="0" w:sz="0" w:val="nil"/>
          <w:left w:space="0" w:sz="0" w:val="nil"/>
          <w:bottom w:space="0" w:sz="0" w:val="nil"/>
          <w:right w:space="0" w:sz="0" w:val="nil"/>
          <w:between w:space="0" w:sz="0" w:val="nil"/>
        </w:pBdr>
        <w:spacing w:after="60" w:before="48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Čl. 3</w:t>
      </w:r>
    </w:p>
    <w:p w:rsidR="00000000" w:rsidDel="00000000" w:rsidP="00000000" w:rsidRDefault="00000000" w:rsidRPr="00000000" w14:paraId="00000012">
      <w:pPr>
        <w:keepNext w:val="1"/>
        <w:keepLines w:val="1"/>
        <w:pBdr>
          <w:top w:space="0" w:sz="0" w:val="nil"/>
          <w:left w:space="0" w:sz="0" w:val="nil"/>
          <w:bottom w:space="0" w:sz="0" w:val="nil"/>
          <w:right w:space="0" w:sz="0" w:val="nil"/>
          <w:between w:space="0" w:sz="0" w:val="nil"/>
        </w:pBdr>
        <w:spacing w:after="160" w:before="6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Ohlašovací povinnost</w:t>
      </w:r>
    </w:p>
    <w:p w:rsidR="00000000" w:rsidDel="00000000" w:rsidP="00000000" w:rsidRDefault="00000000" w:rsidRPr="00000000" w14:paraId="00000013">
      <w:pPr>
        <w:numPr>
          <w:ilvl w:val="0"/>
          <w:numId w:val="4"/>
        </w:numPr>
        <w:spacing w:before="120" w:line="288" w:lineRule="auto"/>
        <w:ind w:left="567" w:hanging="567"/>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Poplatník je povinen podat správci poplatku ohlášení nejpozději do 30 dnů ode dne, kdy se pes stal starším 3 měsíců, nebo ode dne, kdy nabyl psa staršího 3 měsíců; údaje uváděné v ohlášení upravuje zákon.</w:t>
      </w:r>
      <w:r w:rsidDel="00000000" w:rsidR="00000000" w:rsidRPr="00000000">
        <w:rPr>
          <w:rFonts w:ascii="Arial" w:cs="Arial" w:eastAsia="Arial" w:hAnsi="Arial"/>
          <w:sz w:val="22"/>
          <w:szCs w:val="22"/>
          <w:vertAlign w:val="superscript"/>
        </w:rPr>
        <w:footnoteReference w:customMarkFollows="0" w:id="4"/>
      </w:r>
      <w:r w:rsidDel="00000000" w:rsidR="00000000" w:rsidRPr="00000000">
        <w:rPr>
          <w:rtl w:val="0"/>
        </w:rPr>
      </w:r>
    </w:p>
    <w:p w:rsidR="00000000" w:rsidDel="00000000" w:rsidP="00000000" w:rsidRDefault="00000000" w:rsidRPr="00000000" w14:paraId="00000014">
      <w:pPr>
        <w:numPr>
          <w:ilvl w:val="0"/>
          <w:numId w:val="4"/>
        </w:numPr>
        <w:spacing w:before="120" w:line="288" w:lineRule="auto"/>
        <w:ind w:left="567" w:hanging="56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Dojde-li ke změně údajů uvedených v ohlášení, je poplatník povinen tuto změnu oznámit do 30 dnů ode dne, kdy nastala.</w:t>
      </w:r>
      <w:r w:rsidDel="00000000" w:rsidR="00000000" w:rsidRPr="00000000">
        <w:rPr>
          <w:rFonts w:ascii="Arial" w:cs="Arial" w:eastAsia="Arial" w:hAnsi="Arial"/>
          <w:sz w:val="22"/>
          <w:szCs w:val="22"/>
          <w:vertAlign w:val="superscript"/>
        </w:rPr>
        <w:footnoteReference w:customMarkFollows="0" w:id="5"/>
      </w:r>
      <w:r w:rsidDel="00000000" w:rsidR="00000000" w:rsidRPr="00000000">
        <w:rPr>
          <w:rtl w:val="0"/>
        </w:rPr>
      </w:r>
    </w:p>
    <w:p w:rsidR="00000000" w:rsidDel="00000000" w:rsidP="00000000" w:rsidRDefault="00000000" w:rsidRPr="00000000" w14:paraId="00000015">
      <w:pPr>
        <w:keepNext w:val="1"/>
        <w:keepLines w:val="1"/>
        <w:pBdr>
          <w:top w:space="0" w:sz="0" w:val="nil"/>
          <w:left w:space="0" w:sz="0" w:val="nil"/>
          <w:bottom w:space="0" w:sz="0" w:val="nil"/>
          <w:right w:space="0" w:sz="0" w:val="nil"/>
          <w:between w:space="0" w:sz="0" w:val="nil"/>
        </w:pBdr>
        <w:spacing w:after="60" w:before="48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Čl. 4</w:t>
      </w:r>
    </w:p>
    <w:p w:rsidR="00000000" w:rsidDel="00000000" w:rsidP="00000000" w:rsidRDefault="00000000" w:rsidRPr="00000000" w14:paraId="00000016">
      <w:pPr>
        <w:keepNext w:val="1"/>
        <w:keepLines w:val="1"/>
        <w:pBdr>
          <w:top w:space="0" w:sz="0" w:val="nil"/>
          <w:left w:space="0" w:sz="0" w:val="nil"/>
          <w:bottom w:space="0" w:sz="0" w:val="nil"/>
          <w:right w:space="0" w:sz="0" w:val="nil"/>
          <w:between w:space="0" w:sz="0" w:val="nil"/>
        </w:pBdr>
        <w:spacing w:after="160" w:before="6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Sazba poplatku</w:t>
      </w:r>
    </w:p>
    <w:p w:rsidR="00000000" w:rsidDel="00000000" w:rsidP="00000000" w:rsidRDefault="00000000" w:rsidRPr="00000000" w14:paraId="00000017">
      <w:pPr>
        <w:numPr>
          <w:ilvl w:val="0"/>
          <w:numId w:val="7"/>
        </w:numPr>
        <w:spacing w:before="120" w:line="288" w:lineRule="auto"/>
        <w:ind w:left="567" w:hanging="56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Sazba poplatku za kalendářní rok činí:</w:t>
      </w:r>
    </w:p>
    <w:p w:rsidR="00000000" w:rsidDel="00000000" w:rsidP="00000000" w:rsidRDefault="00000000" w:rsidRPr="00000000" w14:paraId="00000018">
      <w:pPr>
        <w:numPr>
          <w:ilvl w:val="1"/>
          <w:numId w:val="7"/>
        </w:numPr>
        <w:spacing w:before="60" w:line="288" w:lineRule="auto"/>
        <w:ind w:left="1021" w:hanging="45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za jednoho psa</w:t>
        <w:tab/>
        <w:tab/>
        <w:tab/>
        <w:tab/>
        <w:tab/>
        <w:tab/>
        <w:tab/>
        <w:tab/>
        <w:t xml:space="preserve">500,- Kč,</w:t>
      </w:r>
    </w:p>
    <w:p w:rsidR="00000000" w:rsidDel="00000000" w:rsidP="00000000" w:rsidRDefault="00000000" w:rsidRPr="00000000" w14:paraId="00000019">
      <w:pPr>
        <w:numPr>
          <w:ilvl w:val="1"/>
          <w:numId w:val="7"/>
        </w:numPr>
        <w:spacing w:before="60" w:line="288" w:lineRule="auto"/>
        <w:ind w:left="1021" w:hanging="45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za druhého a každého dalšího psa téhož držitele</w:t>
        <w:tab/>
        <w:tab/>
        <w:tab/>
        <w:tab/>
        <w:t xml:space="preserve">750,- Kč,</w:t>
      </w:r>
    </w:p>
    <w:p w:rsidR="00000000" w:rsidDel="00000000" w:rsidP="00000000" w:rsidRDefault="00000000" w:rsidRPr="00000000" w14:paraId="0000001A">
      <w:pPr>
        <w:numPr>
          <w:ilvl w:val="1"/>
          <w:numId w:val="7"/>
        </w:numPr>
        <w:spacing w:before="60" w:line="288" w:lineRule="auto"/>
        <w:ind w:left="1021" w:hanging="454"/>
        <w:rPr>
          <w:rFonts w:ascii="Arial" w:cs="Arial" w:eastAsia="Arial" w:hAnsi="Arial"/>
          <w:sz w:val="22"/>
          <w:szCs w:val="22"/>
        </w:rPr>
      </w:pPr>
      <w:r w:rsidDel="00000000" w:rsidR="00000000" w:rsidRPr="00000000">
        <w:rPr>
          <w:rFonts w:ascii="Arial" w:cs="Arial" w:eastAsia="Arial" w:hAnsi="Arial"/>
          <w:sz w:val="22"/>
          <w:szCs w:val="22"/>
          <w:rtl w:val="0"/>
        </w:rPr>
        <w:t xml:space="preserve">za psa, jehož držitelem je osoba starší 65 let, </w:t>
        <w:tab/>
        <w:tab/>
        <w:tab/>
        <w:tab/>
        <w:t xml:space="preserve">100,- Kč,</w:t>
      </w:r>
    </w:p>
    <w:p w:rsidR="00000000" w:rsidDel="00000000" w:rsidP="00000000" w:rsidRDefault="00000000" w:rsidRPr="00000000" w14:paraId="0000001B">
      <w:pPr>
        <w:numPr>
          <w:ilvl w:val="1"/>
          <w:numId w:val="7"/>
        </w:numPr>
        <w:spacing w:before="60" w:line="288" w:lineRule="auto"/>
        <w:ind w:left="1021" w:hanging="45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za druhého a každého dalšího psa téhož držitele, kterým je osoba starší </w:t>
        <w:br w:type="textWrapping"/>
        <w:t xml:space="preserve">65 let, </w:t>
        <w:tab/>
        <w:tab/>
        <w:tab/>
        <w:tab/>
        <w:tab/>
        <w:tab/>
        <w:tab/>
        <w:tab/>
        <w:tab/>
        <w:t xml:space="preserve">150,- Kč.</w:t>
      </w:r>
    </w:p>
    <w:p w:rsidR="00000000" w:rsidDel="00000000" w:rsidP="00000000" w:rsidRDefault="00000000" w:rsidRPr="00000000" w14:paraId="0000001C">
      <w:pPr>
        <w:numPr>
          <w:ilvl w:val="0"/>
          <w:numId w:val="7"/>
        </w:numPr>
        <w:spacing w:before="120" w:line="288" w:lineRule="auto"/>
        <w:ind w:left="567" w:hanging="567"/>
        <w:jc w:val="both"/>
        <w:rPr/>
      </w:pPr>
      <w:r w:rsidDel="00000000" w:rsidR="00000000" w:rsidRPr="00000000">
        <w:rPr>
          <w:rFonts w:ascii="Arial" w:cs="Arial" w:eastAsia="Arial" w:hAnsi="Arial"/>
          <w:sz w:val="22"/>
          <w:szCs w:val="22"/>
          <w:rtl w:val="0"/>
        </w:rPr>
        <w:t xml:space="preserve">V případě trvání poplatkové povinnosti po dobu kratší než jeden rok se platí poplatek v poměrné výši, která odpovídá počtu i započatých kalendářních měsíců.</w:t>
      </w:r>
      <w:r w:rsidDel="00000000" w:rsidR="00000000" w:rsidRPr="00000000">
        <w:rPr>
          <w:rFonts w:ascii="Arial" w:cs="Arial" w:eastAsia="Arial" w:hAnsi="Arial"/>
          <w:sz w:val="22"/>
          <w:szCs w:val="22"/>
          <w:vertAlign w:val="superscript"/>
        </w:rPr>
        <w:footnoteReference w:customMarkFollows="0" w:id="6"/>
      </w:r>
      <w:r w:rsidDel="00000000" w:rsidR="00000000" w:rsidRPr="00000000">
        <w:rPr>
          <w:rtl w:val="0"/>
        </w:rPr>
      </w:r>
    </w:p>
    <w:p w:rsidR="00000000" w:rsidDel="00000000" w:rsidP="00000000" w:rsidRDefault="00000000" w:rsidRPr="00000000" w14:paraId="0000001D">
      <w:pPr>
        <w:keepNext w:val="1"/>
        <w:keepLines w:val="1"/>
        <w:pBdr>
          <w:top w:space="0" w:sz="0" w:val="nil"/>
          <w:left w:space="0" w:sz="0" w:val="nil"/>
          <w:bottom w:space="0" w:sz="0" w:val="nil"/>
          <w:right w:space="0" w:sz="0" w:val="nil"/>
          <w:between w:space="0" w:sz="0" w:val="nil"/>
        </w:pBdr>
        <w:spacing w:after="60" w:before="48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Čl. 5 </w:t>
      </w:r>
    </w:p>
    <w:p w:rsidR="00000000" w:rsidDel="00000000" w:rsidP="00000000" w:rsidRDefault="00000000" w:rsidRPr="00000000" w14:paraId="0000001E">
      <w:pPr>
        <w:keepNext w:val="1"/>
        <w:keepLines w:val="1"/>
        <w:pBdr>
          <w:top w:space="0" w:sz="0" w:val="nil"/>
          <w:left w:space="0" w:sz="0" w:val="nil"/>
          <w:bottom w:space="0" w:sz="0" w:val="nil"/>
          <w:right w:space="0" w:sz="0" w:val="nil"/>
          <w:between w:space="0" w:sz="0" w:val="nil"/>
        </w:pBdr>
        <w:spacing w:after="160" w:before="6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Splatnost poplatku </w:t>
      </w:r>
    </w:p>
    <w:p w:rsidR="00000000" w:rsidDel="00000000" w:rsidP="00000000" w:rsidRDefault="00000000" w:rsidRPr="00000000" w14:paraId="0000001F">
      <w:pPr>
        <w:numPr>
          <w:ilvl w:val="0"/>
          <w:numId w:val="1"/>
        </w:numPr>
        <w:spacing w:before="120" w:line="288" w:lineRule="auto"/>
        <w:ind w:left="567" w:hanging="56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Poplatek je splatný nejpozději do 31. 3. příslušného kalendářního roku.</w:t>
      </w:r>
    </w:p>
    <w:p w:rsidR="00000000" w:rsidDel="00000000" w:rsidP="00000000" w:rsidRDefault="00000000" w:rsidRPr="00000000" w14:paraId="00000020">
      <w:pPr>
        <w:numPr>
          <w:ilvl w:val="0"/>
          <w:numId w:val="1"/>
        </w:numPr>
        <w:spacing w:before="120" w:line="288" w:lineRule="auto"/>
        <w:ind w:left="567" w:hanging="56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Vznikne-li poplatková povinnost po datu splatnosti uvedeném v odstavci 1, je poplatek splatný nejpozději do 30. dne měsíce, který následuje po měsíci, ve kterém poplatková povinnost vznikla.</w:t>
      </w:r>
    </w:p>
    <w:p w:rsidR="00000000" w:rsidDel="00000000" w:rsidP="00000000" w:rsidRDefault="00000000" w:rsidRPr="00000000" w14:paraId="00000021">
      <w:pPr>
        <w:numPr>
          <w:ilvl w:val="0"/>
          <w:numId w:val="1"/>
        </w:numPr>
        <w:spacing w:before="120" w:line="264" w:lineRule="auto"/>
        <w:ind w:left="567" w:hanging="56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Lhůta splatnosti neskončí poplatníkovi dříve než lhůta pro podání ohlášení podle čl. 3 odst. 1 této vyhlášky.</w:t>
      </w:r>
    </w:p>
    <w:p w:rsidR="00000000" w:rsidDel="00000000" w:rsidP="00000000" w:rsidRDefault="00000000" w:rsidRPr="00000000" w14:paraId="00000022">
      <w:pPr>
        <w:spacing w:before="120" w:line="288" w:lineRule="auto"/>
        <w:jc w:val="both"/>
        <w:rPr>
          <w:rFonts w:ascii="Arial" w:cs="Arial" w:eastAsia="Arial" w:hAnsi="Arial"/>
          <w:color w:val="1a4bd6"/>
          <w:sz w:val="22"/>
          <w:szCs w:val="22"/>
        </w:rPr>
      </w:pPr>
      <w:r w:rsidDel="00000000" w:rsidR="00000000" w:rsidRPr="00000000">
        <w:rPr>
          <w:rtl w:val="0"/>
        </w:rPr>
      </w:r>
    </w:p>
    <w:p w:rsidR="00000000" w:rsidDel="00000000" w:rsidP="00000000" w:rsidRDefault="00000000" w:rsidRPr="00000000" w14:paraId="00000023">
      <w:pPr>
        <w:keepNext w:val="1"/>
        <w:keepLines w:val="1"/>
        <w:pBdr>
          <w:top w:space="0" w:sz="0" w:val="nil"/>
          <w:left w:space="0" w:sz="0" w:val="nil"/>
          <w:bottom w:space="0" w:sz="0" w:val="nil"/>
          <w:right w:space="0" w:sz="0" w:val="nil"/>
          <w:between w:space="0" w:sz="0" w:val="nil"/>
        </w:pBdr>
        <w:spacing w:after="60" w:before="48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Čl. 6</w:t>
      </w:r>
    </w:p>
    <w:p w:rsidR="00000000" w:rsidDel="00000000" w:rsidP="00000000" w:rsidRDefault="00000000" w:rsidRPr="00000000" w14:paraId="00000024">
      <w:pPr>
        <w:keepNext w:val="1"/>
        <w:keepLines w:val="1"/>
        <w:pBdr>
          <w:top w:space="0" w:sz="0" w:val="nil"/>
          <w:left w:space="0" w:sz="0" w:val="nil"/>
          <w:bottom w:space="0" w:sz="0" w:val="nil"/>
          <w:right w:space="0" w:sz="0" w:val="nil"/>
          <w:between w:space="0" w:sz="0" w:val="nil"/>
        </w:pBdr>
        <w:spacing w:after="160" w:before="6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Osvobození </w:t>
      </w:r>
    </w:p>
    <w:p w:rsidR="00000000" w:rsidDel="00000000" w:rsidP="00000000" w:rsidRDefault="00000000" w:rsidRPr="00000000" w14:paraId="00000025">
      <w:pPr>
        <w:numPr>
          <w:ilvl w:val="0"/>
          <w:numId w:val="5"/>
        </w:numPr>
        <w:spacing w:before="120" w:line="288" w:lineRule="auto"/>
        <w:ind w:left="567" w:hanging="56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Del="00000000" w:rsidR="00000000" w:rsidRPr="00000000">
        <w:rPr>
          <w:rFonts w:ascii="Arial" w:cs="Arial" w:eastAsia="Arial" w:hAnsi="Arial"/>
          <w:sz w:val="22"/>
          <w:szCs w:val="22"/>
          <w:vertAlign w:val="superscript"/>
        </w:rPr>
        <w:footnoteReference w:customMarkFollows="0" w:id="7"/>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6">
      <w:pPr>
        <w:numPr>
          <w:ilvl w:val="0"/>
          <w:numId w:val="5"/>
        </w:numPr>
        <w:spacing w:before="120" w:line="288" w:lineRule="auto"/>
        <w:ind w:left="567" w:hanging="56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 případě, že poplatník nesplní povinnost ohlásit údaj rozhodný pro osvobození ve lhůtách stanovených touto vyhláškou v čl. 3 nebo zákonem, nárok na osvobození zaniká.</w:t>
      </w:r>
      <w:r w:rsidDel="00000000" w:rsidR="00000000" w:rsidRPr="00000000">
        <w:rPr>
          <w:rFonts w:ascii="Arial" w:cs="Arial" w:eastAsia="Arial" w:hAnsi="Arial"/>
          <w:sz w:val="22"/>
          <w:szCs w:val="22"/>
          <w:vertAlign w:val="superscript"/>
        </w:rPr>
        <w:footnoteReference w:customMarkFollows="0" w:id="8"/>
      </w:r>
      <w:r w:rsidDel="00000000" w:rsidR="00000000" w:rsidRPr="00000000">
        <w:rPr>
          <w:rtl w:val="0"/>
        </w:rPr>
      </w:r>
    </w:p>
    <w:p w:rsidR="00000000" w:rsidDel="00000000" w:rsidP="00000000" w:rsidRDefault="00000000" w:rsidRPr="00000000" w14:paraId="00000027">
      <w:pPr>
        <w:spacing w:before="60" w:line="312" w:lineRule="auto"/>
        <w:ind w:left="567"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keepNext w:val="1"/>
        <w:keepLines w:val="1"/>
        <w:pBdr>
          <w:top w:space="0" w:sz="0" w:val="nil"/>
          <w:left w:space="0" w:sz="0" w:val="nil"/>
          <w:bottom w:space="0" w:sz="0" w:val="nil"/>
          <w:right w:space="0" w:sz="0" w:val="nil"/>
          <w:between w:space="0" w:sz="0" w:val="nil"/>
        </w:pBdr>
        <w:spacing w:after="60" w:before="48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Čl. 7</w:t>
      </w:r>
    </w:p>
    <w:p w:rsidR="00000000" w:rsidDel="00000000" w:rsidP="00000000" w:rsidRDefault="00000000" w:rsidRPr="00000000" w14:paraId="00000029">
      <w:pPr>
        <w:keepNext w:val="1"/>
        <w:keepLines w:val="1"/>
        <w:pBdr>
          <w:top w:space="0" w:sz="0" w:val="nil"/>
          <w:left w:space="0" w:sz="0" w:val="nil"/>
          <w:bottom w:space="0" w:sz="0" w:val="nil"/>
          <w:right w:space="0" w:sz="0" w:val="nil"/>
          <w:between w:space="0" w:sz="0" w:val="nil"/>
        </w:pBdr>
        <w:tabs>
          <w:tab w:val="left" w:leader="none" w:pos="3015"/>
          <w:tab w:val="center" w:leader="none" w:pos="4536"/>
        </w:tabs>
        <w:spacing w:after="160" w:before="6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Přechodné a zrušovací ustanovení</w:t>
      </w:r>
    </w:p>
    <w:p w:rsidR="00000000" w:rsidDel="00000000" w:rsidP="00000000" w:rsidRDefault="00000000" w:rsidRPr="00000000" w14:paraId="0000002A">
      <w:pPr>
        <w:numPr>
          <w:ilvl w:val="0"/>
          <w:numId w:val="2"/>
        </w:numPr>
        <w:spacing w:before="120" w:line="288" w:lineRule="auto"/>
        <w:ind w:left="567" w:hanging="56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Poplatkové povinnosti vzniklé před nabytím účinnosti této vyhlášky se posuzují podle dosavadních právních předpisů.</w:t>
      </w:r>
    </w:p>
    <w:p w:rsidR="00000000" w:rsidDel="00000000" w:rsidP="00000000" w:rsidRDefault="00000000" w:rsidRPr="00000000" w14:paraId="0000002B">
      <w:pPr>
        <w:numPr>
          <w:ilvl w:val="0"/>
          <w:numId w:val="2"/>
        </w:numPr>
        <w:spacing w:before="120" w:line="288" w:lineRule="auto"/>
        <w:ind w:left="567" w:hanging="56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Zrušuje se obecně závazná vyhláška č. 3/2019</w:t>
      </w:r>
      <w:r w:rsidDel="00000000" w:rsidR="00000000" w:rsidRPr="00000000">
        <w:rPr>
          <w:rFonts w:ascii="Arial" w:cs="Arial" w:eastAsia="Arial" w:hAnsi="Arial"/>
          <w:i w:val="1"/>
          <w:sz w:val="22"/>
          <w:szCs w:val="22"/>
          <w:rtl w:val="0"/>
        </w:rPr>
        <w:t xml:space="preserve"> </w:t>
      </w:r>
      <w:r w:rsidDel="00000000" w:rsidR="00000000" w:rsidRPr="00000000">
        <w:rPr>
          <w:rFonts w:ascii="Arial" w:cs="Arial" w:eastAsia="Arial" w:hAnsi="Arial"/>
          <w:sz w:val="22"/>
          <w:szCs w:val="22"/>
          <w:rtl w:val="0"/>
        </w:rPr>
        <w:t xml:space="preserve">o místním poplatků ze psů</w:t>
      </w:r>
      <w:r w:rsidDel="00000000" w:rsidR="00000000" w:rsidRPr="00000000">
        <w:rPr>
          <w:rFonts w:ascii="Arial" w:cs="Arial" w:eastAsia="Arial" w:hAnsi="Arial"/>
          <w:i w:val="1"/>
          <w:sz w:val="22"/>
          <w:szCs w:val="22"/>
          <w:rtl w:val="0"/>
        </w:rPr>
        <w:t xml:space="preserve">, </w:t>
      </w:r>
      <w:r w:rsidDel="00000000" w:rsidR="00000000" w:rsidRPr="00000000">
        <w:rPr>
          <w:rFonts w:ascii="Arial" w:cs="Arial" w:eastAsia="Arial" w:hAnsi="Arial"/>
          <w:sz w:val="22"/>
          <w:szCs w:val="22"/>
          <w:rtl w:val="0"/>
        </w:rPr>
        <w:t xml:space="preserve">ze dne</w:t>
      </w:r>
      <w:r w:rsidDel="00000000" w:rsidR="00000000" w:rsidRPr="00000000">
        <w:rPr>
          <w:rFonts w:ascii="Arial" w:cs="Arial" w:eastAsia="Arial" w:hAnsi="Arial"/>
          <w:i w:val="1"/>
          <w:sz w:val="22"/>
          <w:szCs w:val="22"/>
          <w:rtl w:val="0"/>
        </w:rPr>
        <w:br w:type="textWrapping"/>
      </w:r>
      <w:r w:rsidDel="00000000" w:rsidR="00000000" w:rsidRPr="00000000">
        <w:rPr>
          <w:rFonts w:ascii="Arial" w:cs="Arial" w:eastAsia="Arial" w:hAnsi="Arial"/>
          <w:sz w:val="22"/>
          <w:szCs w:val="22"/>
          <w:rtl w:val="0"/>
        </w:rPr>
        <w:t xml:space="preserve">9. 12. 2019</w:t>
      </w:r>
    </w:p>
    <w:p w:rsidR="00000000" w:rsidDel="00000000" w:rsidP="00000000" w:rsidRDefault="00000000" w:rsidRPr="00000000" w14:paraId="0000002C">
      <w:pPr>
        <w:keepNext w:val="1"/>
        <w:keepLines w:val="1"/>
        <w:pBdr>
          <w:top w:space="0" w:sz="0" w:val="nil"/>
          <w:left w:space="0" w:sz="0" w:val="nil"/>
          <w:bottom w:space="0" w:sz="0" w:val="nil"/>
          <w:right w:space="0" w:sz="0" w:val="nil"/>
          <w:between w:space="0" w:sz="0" w:val="nil"/>
        </w:pBdr>
        <w:spacing w:after="60" w:before="48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Čl. 8</w:t>
      </w:r>
    </w:p>
    <w:p w:rsidR="00000000" w:rsidDel="00000000" w:rsidP="00000000" w:rsidRDefault="00000000" w:rsidRPr="00000000" w14:paraId="0000002D">
      <w:pPr>
        <w:keepNext w:val="1"/>
        <w:keepLines w:val="1"/>
        <w:pBdr>
          <w:top w:space="0" w:sz="0" w:val="nil"/>
          <w:left w:space="0" w:sz="0" w:val="nil"/>
          <w:bottom w:space="0" w:sz="0" w:val="nil"/>
          <w:right w:space="0" w:sz="0" w:val="nil"/>
          <w:between w:space="0" w:sz="0" w:val="nil"/>
        </w:pBdr>
        <w:spacing w:after="160" w:before="6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Účinnost</w:t>
      </w:r>
    </w:p>
    <w:p w:rsidR="00000000" w:rsidDel="00000000" w:rsidP="00000000" w:rsidRDefault="00000000" w:rsidRPr="00000000" w14:paraId="0000002E">
      <w:pPr>
        <w:spacing w:before="120" w:line="288" w:lineRule="auto"/>
        <w:ind w:firstLine="709"/>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Tato vyhláška nabývá účinnosti dnem 1. 1. 2024.</w:t>
      </w:r>
    </w:p>
    <w:p w:rsidR="00000000" w:rsidDel="00000000" w:rsidP="00000000" w:rsidRDefault="00000000" w:rsidRPr="00000000" w14:paraId="0000002F">
      <w:pPr>
        <w:keepNext w:val="1"/>
        <w:keepLines w:val="1"/>
        <w:pBdr>
          <w:top w:space="0" w:sz="0" w:val="nil"/>
          <w:left w:space="0" w:sz="0" w:val="nil"/>
          <w:bottom w:space="0" w:sz="0" w:val="nil"/>
          <w:right w:space="0" w:sz="0" w:val="nil"/>
          <w:between w:space="0" w:sz="0" w:val="nil"/>
        </w:pBdr>
        <w:spacing w:after="160" w:before="60" w:lineRule="auto"/>
        <w:rPr>
          <w:rFonts w:ascii="Arial" w:cs="Arial" w:eastAsia="Arial" w:hAnsi="Arial"/>
          <w:i w:val="1"/>
          <w:color w:val="1a4bd6"/>
        </w:rPr>
      </w:pPr>
      <w:r w:rsidDel="00000000" w:rsidR="00000000" w:rsidRPr="00000000">
        <w:rPr>
          <w:rtl w:val="0"/>
        </w:rPr>
      </w:r>
    </w:p>
    <w:p w:rsidR="00000000" w:rsidDel="00000000" w:rsidP="00000000" w:rsidRDefault="00000000" w:rsidRPr="00000000" w14:paraId="00000030">
      <w:pPr>
        <w:jc w:val="both"/>
        <w:rPr>
          <w:rFonts w:ascii="Arial" w:cs="Arial" w:eastAsia="Arial" w:hAnsi="Arial"/>
          <w:i w:val="1"/>
          <w:color w:val="0070c0"/>
          <w:sz w:val="20"/>
          <w:szCs w:val="20"/>
          <w:u w:val="single"/>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1440"/>
          <w:tab w:val="left" w:leader="none" w:pos="5954"/>
        </w:tabs>
        <w:spacing w:line="288" w:lineRule="auto"/>
        <w:rPr>
          <w:rFonts w:ascii="Arial" w:cs="Arial" w:eastAsia="Arial" w:hAnsi="Arial"/>
          <w:i w:val="1"/>
          <w:color w:val="000000"/>
          <w:sz w:val="22"/>
          <w:szCs w:val="22"/>
        </w:rPr>
      </w:pPr>
      <w:r w:rsidDel="00000000" w:rsidR="00000000" w:rsidRPr="00000000">
        <w:rPr>
          <w:rFonts w:ascii="Arial" w:cs="Arial" w:eastAsia="Arial" w:hAnsi="Arial"/>
          <w:i w:val="1"/>
          <w:color w:val="000000"/>
          <w:sz w:val="22"/>
          <w:szCs w:val="22"/>
          <w:rtl w:val="0"/>
        </w:rPr>
        <w:tab/>
        <w:tab/>
        <w:t xml:space="preserve">    </w:t>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leader="none" w:pos="567"/>
        </w:tabs>
        <w:spacing w:line="288" w:lineRule="auto"/>
        <w:rPr>
          <w:rFonts w:ascii="Arial" w:cs="Arial" w:eastAsia="Arial" w:hAnsi="Arial"/>
          <w:i w:val="1"/>
          <w:color w:val="000000"/>
          <w:sz w:val="22"/>
          <w:szCs w:val="22"/>
        </w:rPr>
      </w:pPr>
      <w:r w:rsidDel="00000000" w:rsidR="00000000" w:rsidRPr="00000000">
        <w:rPr>
          <w:rFonts w:ascii="Arial" w:cs="Arial" w:eastAsia="Arial" w:hAnsi="Arial"/>
          <w:i w:val="1"/>
          <w:color w:val="000000"/>
          <w:sz w:val="22"/>
          <w:szCs w:val="22"/>
          <w:rtl w:val="0"/>
        </w:rPr>
        <w:tab/>
        <w:t xml:space="preserve">...................................</w:t>
        <w:tab/>
        <w:tab/>
        <w:tab/>
        <w:tab/>
        <w:t xml:space="preserve"> </w:t>
        <w:tab/>
        <w:t xml:space="preserve">...................................</w:t>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567"/>
          <w:tab w:val="left" w:leader="none" w:pos="1134"/>
        </w:tabs>
        <w:spacing w:line="288"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ab/>
        <w:t xml:space="preserve">Ing. Martina Vodičková v. r. </w:t>
        <w:tab/>
        <w:tab/>
        <w:tab/>
        <w:tab/>
        <w:t xml:space="preserve">Jaroslav Vácha v. r.</w:t>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567"/>
          <w:tab w:val="left" w:leader="none" w:pos="1134"/>
        </w:tabs>
        <w:spacing w:line="288"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ab/>
        <w:tab/>
        <w:t xml:space="preserve">starosta</w:t>
        <w:tab/>
        <w:tab/>
        <w:tab/>
        <w:tab/>
        <w:tab/>
        <w:tab/>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místostarosta</w:t>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1080"/>
          <w:tab w:val="left" w:leader="none" w:pos="7020"/>
        </w:tabs>
        <w:spacing w:line="288"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6">
      <w:pPr>
        <w:spacing w:before="120" w:line="288" w:lineRule="auto"/>
        <w:ind w:left="708"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leader="none" w:pos="1080"/>
          <w:tab w:val="left" w:leader="none" w:pos="7020"/>
        </w:tabs>
        <w:spacing w:line="288"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8">
      <w:pPr>
        <w:tabs>
          <w:tab w:val="left" w:leader="none" w:pos="3780"/>
        </w:tabs>
        <w:ind w:left="567" w:firstLine="0"/>
        <w:jc w:val="both"/>
        <w:rPr>
          <w:rFonts w:ascii="Arial" w:cs="Arial" w:eastAsia="Arial" w:hAnsi="Arial"/>
          <w:i w:val="1"/>
          <w:color w:val="ed7d31"/>
          <w:sz w:val="20"/>
          <w:szCs w:val="20"/>
        </w:rPr>
      </w:pPr>
      <w:r w:rsidDel="00000000" w:rsidR="00000000" w:rsidRPr="00000000">
        <w:rPr>
          <w:rtl w:val="0"/>
        </w:rPr>
      </w:r>
    </w:p>
    <w:p w:rsidR="00000000" w:rsidDel="00000000" w:rsidP="00000000" w:rsidRDefault="00000000" w:rsidRPr="00000000" w14:paraId="00000039">
      <w:pPr>
        <w:tabs>
          <w:tab w:val="left" w:leader="none" w:pos="3780"/>
        </w:tabs>
        <w:jc w:val="both"/>
        <w:rPr>
          <w:rFonts w:ascii="Arial" w:cs="Arial" w:eastAsia="Arial" w:hAnsi="Arial"/>
          <w:color w:val="ed7d31"/>
          <w:sz w:val="22"/>
          <w:szCs w:val="22"/>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1080"/>
          <w:tab w:val="left" w:leader="none" w:pos="7020"/>
        </w:tabs>
        <w:spacing w:after="120" w:line="288" w:lineRule="auto"/>
        <w:rPr>
          <w:rFonts w:ascii="Arial" w:cs="Arial" w:eastAsia="Arial" w:hAnsi="Arial"/>
          <w:color w:val="000000"/>
          <w:sz w:val="22"/>
          <w:szCs w:val="22"/>
        </w:rPr>
      </w:pPr>
      <w:r w:rsidDel="00000000" w:rsidR="00000000" w:rsidRPr="00000000">
        <w:rPr>
          <w:rtl w:val="0"/>
        </w:rPr>
      </w:r>
    </w:p>
    <w:sectPr>
      <w:footerReference r:id="rId8"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536"/>
        <w:tab w:val="right" w:leader="none" w:pos="9072"/>
      </w:tabs>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536"/>
        <w:tab w:val="right" w:leader="none" w:pos="9072"/>
      </w:tabs>
      <w:rPr>
        <w:rFonts w:ascii="Calibri" w:cs="Calibri" w:eastAsia="Calibri" w:hAnsi="Calibri"/>
        <w:color w:val="000000"/>
        <w:sz w:val="22"/>
        <w:szCs w:val="22"/>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B">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8"/>
          <w:szCs w:val="18"/>
          <w:rtl w:val="0"/>
        </w:rPr>
        <w:t xml:space="preserve"> § 2 odst. 5 zákona o místních poplatcích</w:t>
      </w:r>
      <w:r w:rsidDel="00000000" w:rsidR="00000000" w:rsidRPr="00000000">
        <w:rPr>
          <w:rtl w:val="0"/>
        </w:rPr>
      </w:r>
    </w:p>
  </w:footnote>
  <w:footnote w:id="1">
    <w:p w:rsidR="00000000" w:rsidDel="00000000" w:rsidP="00000000" w:rsidRDefault="00000000" w:rsidRPr="00000000" w14:paraId="0000003C">
      <w:pPr>
        <w:pBdr>
          <w:top w:space="0" w:sz="0" w:val="nil"/>
          <w:left w:space="0" w:sz="0" w:val="nil"/>
          <w:bottom w:space="0" w:sz="0" w:val="nil"/>
          <w:right w:space="0" w:sz="0" w:val="nil"/>
          <w:between w:space="0" w:sz="0" w:val="nil"/>
        </w:pBdr>
        <w:jc w:val="both"/>
        <w:rPr>
          <w:rFonts w:ascii="Arial" w:cs="Arial" w:eastAsia="Arial" w:hAnsi="Arial"/>
          <w:color w:val="000000"/>
          <w:sz w:val="18"/>
          <w:szCs w:val="18"/>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8"/>
          <w:szCs w:val="18"/>
          <w:rtl w:val="0"/>
        </w:rPr>
        <w:t xml:space="preserve"> § 15 odst. 1 zákona o místních poplatcích</w:t>
      </w:r>
    </w:p>
  </w:footnote>
  <w:footnote w:id="2">
    <w:p w:rsidR="00000000" w:rsidDel="00000000" w:rsidP="00000000" w:rsidRDefault="00000000" w:rsidRPr="00000000" w14:paraId="0000003D">
      <w:pPr>
        <w:pBdr>
          <w:top w:space="0" w:sz="0" w:val="nil"/>
          <w:left w:space="0" w:sz="0" w:val="nil"/>
          <w:bottom w:space="0" w:sz="0" w:val="nil"/>
          <w:right w:space="0" w:sz="0" w:val="nil"/>
          <w:between w:space="0" w:sz="0" w:val="nil"/>
        </w:pBdr>
        <w:jc w:val="both"/>
        <w:rPr>
          <w:rFonts w:ascii="Arial" w:cs="Arial" w:eastAsia="Arial" w:hAnsi="Arial"/>
          <w:color w:val="000000"/>
          <w:sz w:val="18"/>
          <w:szCs w:val="18"/>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8"/>
          <w:szCs w:val="18"/>
          <w:rtl w:val="0"/>
        </w:rPr>
        <w:t xml:space="preserve"> § 2 odst. 1 a odst. 4 zákona o místních poplatcích</w:t>
      </w:r>
    </w:p>
  </w:footnote>
  <w:footnote w:id="3">
    <w:p w:rsidR="00000000" w:rsidDel="00000000" w:rsidP="00000000" w:rsidRDefault="00000000" w:rsidRPr="00000000" w14:paraId="0000003E">
      <w:pPr>
        <w:pBdr>
          <w:top w:space="0" w:sz="0" w:val="nil"/>
          <w:left w:space="0" w:sz="0" w:val="nil"/>
          <w:bottom w:space="0" w:sz="0" w:val="nil"/>
          <w:right w:space="0" w:sz="0" w:val="nil"/>
          <w:between w:space="0" w:sz="0" w:val="nil"/>
        </w:pBdr>
        <w:jc w:val="both"/>
        <w:rPr>
          <w:rFonts w:ascii="Arial" w:cs="Arial" w:eastAsia="Arial" w:hAnsi="Arial"/>
          <w:color w:val="000000"/>
          <w:sz w:val="18"/>
          <w:szCs w:val="18"/>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8"/>
          <w:szCs w:val="18"/>
          <w:rtl w:val="0"/>
        </w:rPr>
        <w:t xml:space="preserve"> § 2 odst. 2 zákona o místních poplatcích</w:t>
      </w:r>
    </w:p>
  </w:footnote>
  <w:footnote w:id="4">
    <w:p w:rsidR="00000000" w:rsidDel="00000000" w:rsidP="00000000" w:rsidRDefault="00000000" w:rsidRPr="00000000" w14:paraId="0000003F">
      <w:pPr>
        <w:pBdr>
          <w:top w:space="0" w:sz="0" w:val="nil"/>
          <w:left w:space="0" w:sz="0" w:val="nil"/>
          <w:bottom w:space="0" w:sz="0" w:val="nil"/>
          <w:right w:space="0" w:sz="0" w:val="nil"/>
          <w:between w:space="0" w:sz="0" w:val="nil"/>
        </w:pBdr>
        <w:jc w:val="both"/>
        <w:rPr>
          <w:rFonts w:ascii="Arial" w:cs="Arial" w:eastAsia="Arial" w:hAnsi="Arial"/>
          <w:color w:val="000000"/>
          <w:sz w:val="18"/>
          <w:szCs w:val="18"/>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8"/>
          <w:szCs w:val="18"/>
          <w:rtl w:val="0"/>
        </w:rPr>
        <w:t xml:space="preserve"> § 14a odst. 1 a 2 zákona o místních poplatcích; v ohlášení poplatník uvede zejména své identifikační údaje a skutečnosti rozhodné pro stanovení poplatku</w:t>
      </w:r>
    </w:p>
  </w:footnote>
  <w:footnote w:id="5">
    <w:p w:rsidR="00000000" w:rsidDel="00000000" w:rsidP="00000000" w:rsidRDefault="00000000" w:rsidRPr="00000000" w14:paraId="00000040">
      <w:pPr>
        <w:pBdr>
          <w:top w:space="0" w:sz="0" w:val="nil"/>
          <w:left w:space="0" w:sz="0" w:val="nil"/>
          <w:bottom w:space="0" w:sz="0" w:val="nil"/>
          <w:right w:space="0" w:sz="0" w:val="nil"/>
          <w:between w:space="0" w:sz="0" w:val="nil"/>
        </w:pBdr>
        <w:jc w:val="both"/>
        <w:rPr>
          <w:rFonts w:ascii="Arial" w:cs="Arial" w:eastAsia="Arial" w:hAnsi="Arial"/>
          <w:color w:val="000000"/>
          <w:sz w:val="18"/>
          <w:szCs w:val="18"/>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8"/>
          <w:szCs w:val="18"/>
          <w:rtl w:val="0"/>
        </w:rPr>
        <w:t xml:space="preserve"> § 14a odst. 4 zákona o místních poplatcích</w:t>
      </w:r>
    </w:p>
  </w:footnote>
  <w:footnote w:id="6">
    <w:p w:rsidR="00000000" w:rsidDel="00000000" w:rsidP="00000000" w:rsidRDefault="00000000" w:rsidRPr="00000000" w14:paraId="00000041">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8"/>
          <w:szCs w:val="18"/>
          <w:rtl w:val="0"/>
        </w:rPr>
        <w:t xml:space="preserve"> § 2 odst. 3 zákona o místních poplatcích</w:t>
      </w:r>
      <w:r w:rsidDel="00000000" w:rsidR="00000000" w:rsidRPr="00000000">
        <w:rPr>
          <w:rtl w:val="0"/>
        </w:rPr>
      </w:r>
    </w:p>
  </w:footnote>
  <w:footnote w:id="7">
    <w:p w:rsidR="00000000" w:rsidDel="00000000" w:rsidP="00000000" w:rsidRDefault="00000000" w:rsidRPr="00000000" w14:paraId="00000042">
      <w:pPr>
        <w:pBdr>
          <w:top w:space="0" w:sz="0" w:val="nil"/>
          <w:left w:space="0" w:sz="0" w:val="nil"/>
          <w:bottom w:space="0" w:sz="0" w:val="nil"/>
          <w:right w:space="0" w:sz="0" w:val="nil"/>
          <w:between w:space="0" w:sz="0" w:val="nil"/>
        </w:pBdr>
        <w:rPr>
          <w:rFonts w:ascii="Arial" w:cs="Arial" w:eastAsia="Arial" w:hAnsi="Arial"/>
          <w:color w:val="000000"/>
          <w:sz w:val="18"/>
          <w:szCs w:val="18"/>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8"/>
          <w:szCs w:val="18"/>
          <w:rtl w:val="0"/>
        </w:rPr>
        <w:t xml:space="preserve"> § 2 odst. 2 zákona o místních poplatcích</w:t>
      </w:r>
    </w:p>
  </w:footnote>
  <w:footnote w:id="8">
    <w:p w:rsidR="00000000" w:rsidDel="00000000" w:rsidP="00000000" w:rsidRDefault="00000000" w:rsidRPr="00000000" w14:paraId="00000043">
      <w:pPr>
        <w:pBdr>
          <w:top w:space="0" w:sz="0" w:val="nil"/>
          <w:left w:space="0" w:sz="0" w:val="nil"/>
          <w:bottom w:space="0" w:sz="0" w:val="nil"/>
          <w:right w:space="0" w:sz="0" w:val="nil"/>
          <w:between w:space="0" w:sz="0" w:val="nil"/>
        </w:pBdr>
        <w:rPr>
          <w:rFonts w:ascii="Arial" w:cs="Arial" w:eastAsia="Arial" w:hAnsi="Arial"/>
          <w:color w:val="000000"/>
          <w:sz w:val="18"/>
          <w:szCs w:val="18"/>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8"/>
          <w:szCs w:val="18"/>
          <w:rtl w:val="0"/>
        </w:rPr>
        <w:t xml:space="preserve"> § 14a odst. 6 zákona o místních poplatcích</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567" w:hanging="567"/>
      </w:pPr>
      <w:rPr>
        <w:b w:val="0"/>
        <w:i w:val="0"/>
        <w:strike w:val="0"/>
        <w:vertAlign w:val="baseline"/>
      </w:rPr>
    </w:lvl>
    <w:lvl w:ilvl="1">
      <w:start w:val="1"/>
      <w:numFmt w:val="lowerLetter"/>
      <w:lvlText w:val="%2)"/>
      <w:lvlJc w:val="left"/>
      <w:pPr>
        <w:ind w:left="1021" w:hanging="454"/>
      </w:pPr>
      <w:rPr/>
    </w:lvl>
    <w:lvl w:ilvl="2">
      <w:start w:val="1"/>
      <w:numFmt w:val="lowerRoman"/>
      <w:lvlText w:val="%3)"/>
      <w:lvlJc w:val="left"/>
      <w:pPr>
        <w:ind w:left="1440" w:hanging="360"/>
      </w:pPr>
      <w:rPr/>
    </w:lvl>
    <w:lvl w:ilvl="3">
      <w:start w:val="1"/>
      <w:numFmt w:val="decimal"/>
      <w:lvlText w:val="(%4)"/>
      <w:lvlJc w:val="left"/>
      <w:pPr>
        <w:ind w:left="1800" w:hanging="360"/>
      </w:pPr>
      <w:rPr/>
    </w:lvl>
    <w:lvl w:ilvl="4">
      <w:start w:val="1"/>
      <w:numFmt w:val="lowerLetter"/>
      <w:lvlText w:val="(%5)"/>
      <w:lvlJc w:val="left"/>
      <w:pPr>
        <w:ind w:left="2160" w:hanging="360"/>
      </w:pPr>
      <w:rPr/>
    </w:lvl>
    <w:lvl w:ilvl="5">
      <w:start w:val="1"/>
      <w:numFmt w:val="lowerRoman"/>
      <w:lvlText w:val="(%6)"/>
      <w:lvlJc w:val="left"/>
      <w:pPr>
        <w:ind w:left="2520" w:hanging="360"/>
      </w:pPr>
      <w:rPr/>
    </w:lvl>
    <w:lvl w:ilvl="6">
      <w:start w:val="1"/>
      <w:numFmt w:val="decimal"/>
      <w:lvlText w:val="%7."/>
      <w:lvlJc w:val="left"/>
      <w:pPr>
        <w:ind w:left="2880" w:hanging="360"/>
      </w:pPr>
      <w:rPr/>
    </w:lvl>
    <w:lvl w:ilvl="7">
      <w:start w:val="1"/>
      <w:numFmt w:val="lowerLetter"/>
      <w:lvlText w:val="%8."/>
      <w:lvlJc w:val="left"/>
      <w:pPr>
        <w:ind w:left="3240" w:hanging="360"/>
      </w:pPr>
      <w:rPr/>
    </w:lvl>
    <w:lvl w:ilvl="8">
      <w:start w:val="1"/>
      <w:numFmt w:val="lowerRoman"/>
      <w:lvlText w:val="%9."/>
      <w:lvlJc w:val="left"/>
      <w:pPr>
        <w:ind w:left="3600" w:hanging="360"/>
      </w:pPr>
      <w:rPr/>
    </w:lvl>
  </w:abstractNum>
  <w:abstractNum w:abstractNumId="2">
    <w:lvl w:ilvl="0">
      <w:start w:val="1"/>
      <w:numFmt w:val="decimal"/>
      <w:lvlText w:val="(%1)"/>
      <w:lvlJc w:val="left"/>
      <w:pPr>
        <w:ind w:left="567" w:hanging="567"/>
      </w:pPr>
      <w:rPr>
        <w:b w:val="0"/>
        <w:i w:val="0"/>
        <w:strike w:val="0"/>
        <w:vertAlign w:val="baseline"/>
      </w:rPr>
    </w:lvl>
    <w:lvl w:ilvl="1">
      <w:start w:val="1"/>
      <w:numFmt w:val="lowerLetter"/>
      <w:lvlText w:val="%2)"/>
      <w:lvlJc w:val="left"/>
      <w:pPr>
        <w:ind w:left="1021" w:hanging="454"/>
      </w:pPr>
      <w:rPr/>
    </w:lvl>
    <w:lvl w:ilvl="2">
      <w:start w:val="1"/>
      <w:numFmt w:val="lowerRoman"/>
      <w:lvlText w:val="%3)"/>
      <w:lvlJc w:val="left"/>
      <w:pPr>
        <w:ind w:left="1440" w:hanging="360"/>
      </w:pPr>
      <w:rPr/>
    </w:lvl>
    <w:lvl w:ilvl="3">
      <w:start w:val="1"/>
      <w:numFmt w:val="decimal"/>
      <w:lvlText w:val="(%4)"/>
      <w:lvlJc w:val="left"/>
      <w:pPr>
        <w:ind w:left="1800" w:hanging="360"/>
      </w:pPr>
      <w:rPr/>
    </w:lvl>
    <w:lvl w:ilvl="4">
      <w:start w:val="1"/>
      <w:numFmt w:val="lowerLetter"/>
      <w:lvlText w:val="(%5)"/>
      <w:lvlJc w:val="left"/>
      <w:pPr>
        <w:ind w:left="2160" w:hanging="360"/>
      </w:pPr>
      <w:rPr/>
    </w:lvl>
    <w:lvl w:ilvl="5">
      <w:start w:val="1"/>
      <w:numFmt w:val="lowerRoman"/>
      <w:lvlText w:val="(%6)"/>
      <w:lvlJc w:val="left"/>
      <w:pPr>
        <w:ind w:left="2520" w:hanging="360"/>
      </w:pPr>
      <w:rPr/>
    </w:lvl>
    <w:lvl w:ilvl="6">
      <w:start w:val="1"/>
      <w:numFmt w:val="decimal"/>
      <w:lvlText w:val="%7."/>
      <w:lvlJc w:val="left"/>
      <w:pPr>
        <w:ind w:left="2880" w:hanging="360"/>
      </w:pPr>
      <w:rPr/>
    </w:lvl>
    <w:lvl w:ilvl="7">
      <w:start w:val="1"/>
      <w:numFmt w:val="lowerLetter"/>
      <w:lvlText w:val="%8."/>
      <w:lvlJc w:val="left"/>
      <w:pPr>
        <w:ind w:left="3240" w:hanging="360"/>
      </w:pPr>
      <w:rPr/>
    </w:lvl>
    <w:lvl w:ilvl="8">
      <w:start w:val="1"/>
      <w:numFmt w:val="lowerRoman"/>
      <w:lvlText w:val="%9."/>
      <w:lvlJc w:val="left"/>
      <w:pPr>
        <w:ind w:left="3600" w:hanging="360"/>
      </w:pPr>
      <w:rPr/>
    </w:lvl>
  </w:abstractNum>
  <w:abstractNum w:abstractNumId="3">
    <w:lvl w:ilvl="0">
      <w:start w:val="1"/>
      <w:numFmt w:val="decimal"/>
      <w:lvlText w:val="(%1)"/>
      <w:lvlJc w:val="left"/>
      <w:pPr>
        <w:ind w:left="567" w:hanging="567"/>
      </w:pPr>
      <w:rPr>
        <w:b w:val="0"/>
        <w:i w:val="0"/>
        <w:strike w:val="0"/>
        <w:vertAlign w:val="baseline"/>
      </w:rPr>
    </w:lvl>
    <w:lvl w:ilvl="1">
      <w:start w:val="1"/>
      <w:numFmt w:val="lowerLetter"/>
      <w:lvlText w:val="%2)"/>
      <w:lvlJc w:val="left"/>
      <w:pPr>
        <w:ind w:left="1021" w:hanging="454"/>
      </w:pPr>
      <w:rPr/>
    </w:lvl>
    <w:lvl w:ilvl="2">
      <w:start w:val="1"/>
      <w:numFmt w:val="lowerRoman"/>
      <w:lvlText w:val="%3)"/>
      <w:lvlJc w:val="left"/>
      <w:pPr>
        <w:ind w:left="1440" w:hanging="360"/>
      </w:pPr>
      <w:rPr/>
    </w:lvl>
    <w:lvl w:ilvl="3">
      <w:start w:val="1"/>
      <w:numFmt w:val="decimal"/>
      <w:lvlText w:val="(%4)"/>
      <w:lvlJc w:val="left"/>
      <w:pPr>
        <w:ind w:left="1800" w:hanging="360"/>
      </w:pPr>
      <w:rPr/>
    </w:lvl>
    <w:lvl w:ilvl="4">
      <w:start w:val="1"/>
      <w:numFmt w:val="lowerLetter"/>
      <w:lvlText w:val="(%5)"/>
      <w:lvlJc w:val="left"/>
      <w:pPr>
        <w:ind w:left="2160" w:hanging="360"/>
      </w:pPr>
      <w:rPr/>
    </w:lvl>
    <w:lvl w:ilvl="5">
      <w:start w:val="1"/>
      <w:numFmt w:val="lowerRoman"/>
      <w:lvlText w:val="(%6)"/>
      <w:lvlJc w:val="left"/>
      <w:pPr>
        <w:ind w:left="2520" w:hanging="360"/>
      </w:pPr>
      <w:rPr/>
    </w:lvl>
    <w:lvl w:ilvl="6">
      <w:start w:val="1"/>
      <w:numFmt w:val="decimal"/>
      <w:lvlText w:val="%7."/>
      <w:lvlJc w:val="left"/>
      <w:pPr>
        <w:ind w:left="2880" w:hanging="360"/>
      </w:pPr>
      <w:rPr/>
    </w:lvl>
    <w:lvl w:ilvl="7">
      <w:start w:val="1"/>
      <w:numFmt w:val="lowerLetter"/>
      <w:lvlText w:val="%8."/>
      <w:lvlJc w:val="left"/>
      <w:pPr>
        <w:ind w:left="3240" w:hanging="360"/>
      </w:pPr>
      <w:rPr/>
    </w:lvl>
    <w:lvl w:ilvl="8">
      <w:start w:val="1"/>
      <w:numFmt w:val="lowerRoman"/>
      <w:lvlText w:val="%9."/>
      <w:lvlJc w:val="left"/>
      <w:pPr>
        <w:ind w:left="3600" w:hanging="360"/>
      </w:pPr>
      <w:rPr/>
    </w:lvl>
  </w:abstractNum>
  <w:abstractNum w:abstractNumId="4">
    <w:lvl w:ilvl="0">
      <w:start w:val="1"/>
      <w:numFmt w:val="decimal"/>
      <w:lvlText w:val="(%1)"/>
      <w:lvlJc w:val="left"/>
      <w:pPr>
        <w:ind w:left="567" w:hanging="567"/>
      </w:pPr>
      <w:rPr>
        <w:b w:val="0"/>
        <w:i w:val="0"/>
        <w:strike w:val="0"/>
        <w:vertAlign w:val="baseline"/>
      </w:rPr>
    </w:lvl>
    <w:lvl w:ilvl="1">
      <w:start w:val="1"/>
      <w:numFmt w:val="lowerLetter"/>
      <w:lvlText w:val="%2)"/>
      <w:lvlJc w:val="left"/>
      <w:pPr>
        <w:ind w:left="1021" w:hanging="454"/>
      </w:pPr>
      <w:rPr/>
    </w:lvl>
    <w:lvl w:ilvl="2">
      <w:start w:val="1"/>
      <w:numFmt w:val="lowerRoman"/>
      <w:lvlText w:val="%3)"/>
      <w:lvlJc w:val="left"/>
      <w:pPr>
        <w:ind w:left="1440" w:hanging="360"/>
      </w:pPr>
      <w:rPr/>
    </w:lvl>
    <w:lvl w:ilvl="3">
      <w:start w:val="1"/>
      <w:numFmt w:val="decimal"/>
      <w:lvlText w:val="(%4)"/>
      <w:lvlJc w:val="left"/>
      <w:pPr>
        <w:ind w:left="1800" w:hanging="360"/>
      </w:pPr>
      <w:rPr/>
    </w:lvl>
    <w:lvl w:ilvl="4">
      <w:start w:val="1"/>
      <w:numFmt w:val="lowerLetter"/>
      <w:lvlText w:val="(%5)"/>
      <w:lvlJc w:val="left"/>
      <w:pPr>
        <w:ind w:left="2160" w:hanging="360"/>
      </w:pPr>
      <w:rPr/>
    </w:lvl>
    <w:lvl w:ilvl="5">
      <w:start w:val="1"/>
      <w:numFmt w:val="lowerRoman"/>
      <w:lvlText w:val="(%6)"/>
      <w:lvlJc w:val="left"/>
      <w:pPr>
        <w:ind w:left="2520" w:hanging="360"/>
      </w:pPr>
      <w:rPr/>
    </w:lvl>
    <w:lvl w:ilvl="6">
      <w:start w:val="1"/>
      <w:numFmt w:val="decimal"/>
      <w:lvlText w:val="%7."/>
      <w:lvlJc w:val="left"/>
      <w:pPr>
        <w:ind w:left="2880" w:hanging="360"/>
      </w:pPr>
      <w:rPr/>
    </w:lvl>
    <w:lvl w:ilvl="7">
      <w:start w:val="1"/>
      <w:numFmt w:val="lowerLetter"/>
      <w:lvlText w:val="%8."/>
      <w:lvlJc w:val="left"/>
      <w:pPr>
        <w:ind w:left="3240" w:hanging="360"/>
      </w:pPr>
      <w:rPr/>
    </w:lvl>
    <w:lvl w:ilvl="8">
      <w:start w:val="1"/>
      <w:numFmt w:val="lowerRoman"/>
      <w:lvlText w:val="%9."/>
      <w:lvlJc w:val="left"/>
      <w:pPr>
        <w:ind w:left="3600" w:hanging="360"/>
      </w:pPr>
      <w:rPr/>
    </w:lvl>
  </w:abstractNum>
  <w:abstractNum w:abstractNumId="5">
    <w:lvl w:ilvl="0">
      <w:start w:val="1"/>
      <w:numFmt w:val="decimal"/>
      <w:lvlText w:val="(%1)"/>
      <w:lvlJc w:val="left"/>
      <w:pPr>
        <w:ind w:left="567" w:hanging="567"/>
      </w:pPr>
      <w:rPr>
        <w:rFonts w:ascii="Arial" w:cs="Arial" w:eastAsia="Arial" w:hAnsi="Arial"/>
        <w:b w:val="0"/>
        <w:i w:val="0"/>
        <w:strike w:val="0"/>
        <w:vertAlign w:val="baseline"/>
      </w:rPr>
    </w:lvl>
    <w:lvl w:ilvl="1">
      <w:start w:val="1"/>
      <w:numFmt w:val="lowerLetter"/>
      <w:lvlText w:val="%2)"/>
      <w:lvlJc w:val="left"/>
      <w:pPr>
        <w:ind w:left="1021" w:hanging="454"/>
      </w:pPr>
      <w:rPr/>
    </w:lvl>
    <w:lvl w:ilvl="2">
      <w:start w:val="1"/>
      <w:numFmt w:val="lowerRoman"/>
      <w:lvlText w:val="%3)"/>
      <w:lvlJc w:val="left"/>
      <w:pPr>
        <w:ind w:left="1440" w:hanging="360"/>
      </w:pPr>
      <w:rPr/>
    </w:lvl>
    <w:lvl w:ilvl="3">
      <w:start w:val="1"/>
      <w:numFmt w:val="decimal"/>
      <w:lvlText w:val="(%4)"/>
      <w:lvlJc w:val="left"/>
      <w:pPr>
        <w:ind w:left="1800" w:hanging="360"/>
      </w:pPr>
      <w:rPr/>
    </w:lvl>
    <w:lvl w:ilvl="4">
      <w:start w:val="1"/>
      <w:numFmt w:val="lowerLetter"/>
      <w:lvlText w:val="(%5)"/>
      <w:lvlJc w:val="left"/>
      <w:pPr>
        <w:ind w:left="2160" w:hanging="360"/>
      </w:pPr>
      <w:rPr/>
    </w:lvl>
    <w:lvl w:ilvl="5">
      <w:start w:val="1"/>
      <w:numFmt w:val="lowerRoman"/>
      <w:lvlText w:val="(%6)"/>
      <w:lvlJc w:val="left"/>
      <w:pPr>
        <w:ind w:left="2520" w:hanging="360"/>
      </w:pPr>
      <w:rPr/>
    </w:lvl>
    <w:lvl w:ilvl="6">
      <w:start w:val="1"/>
      <w:numFmt w:val="decimal"/>
      <w:lvlText w:val="%7."/>
      <w:lvlJc w:val="left"/>
      <w:pPr>
        <w:ind w:left="2880" w:hanging="360"/>
      </w:pPr>
      <w:rPr/>
    </w:lvl>
    <w:lvl w:ilvl="7">
      <w:start w:val="1"/>
      <w:numFmt w:val="lowerLetter"/>
      <w:lvlText w:val="%8."/>
      <w:lvlJc w:val="left"/>
      <w:pPr>
        <w:ind w:left="3240" w:hanging="360"/>
      </w:pPr>
      <w:rPr/>
    </w:lvl>
    <w:lvl w:ilvl="8">
      <w:start w:val="1"/>
      <w:numFmt w:val="lowerRoman"/>
      <w:lvlText w:val="%9."/>
      <w:lvlJc w:val="left"/>
      <w:pPr>
        <w:ind w:left="3600" w:hanging="360"/>
      </w:pPr>
      <w:rPr/>
    </w:lvl>
  </w:abstractNum>
  <w:abstractNum w:abstractNumId="6">
    <w:lvl w:ilvl="0">
      <w:start w:val="1"/>
      <w:numFmt w:val="decimal"/>
      <w:lvlText w:val="(%1)"/>
      <w:lvlJc w:val="left"/>
      <w:pPr>
        <w:ind w:left="567" w:hanging="567"/>
      </w:pPr>
      <w:rPr>
        <w:rFonts w:ascii="Arial" w:cs="Arial" w:eastAsia="Arial" w:hAnsi="Arial"/>
        <w:b w:val="0"/>
        <w:i w:val="0"/>
        <w:strike w:val="0"/>
        <w:sz w:val="22"/>
        <w:szCs w:val="22"/>
        <w:vertAlign w:val="baseline"/>
      </w:rPr>
    </w:lvl>
    <w:lvl w:ilvl="1">
      <w:start w:val="1"/>
      <w:numFmt w:val="lowerLetter"/>
      <w:lvlText w:val="%2)"/>
      <w:lvlJc w:val="left"/>
      <w:pPr>
        <w:ind w:left="1021" w:hanging="454"/>
      </w:pPr>
      <w:rPr/>
    </w:lvl>
    <w:lvl w:ilvl="2">
      <w:start w:val="1"/>
      <w:numFmt w:val="lowerRoman"/>
      <w:lvlText w:val="%3)"/>
      <w:lvlJc w:val="left"/>
      <w:pPr>
        <w:ind w:left="1440" w:hanging="360"/>
      </w:pPr>
      <w:rPr/>
    </w:lvl>
    <w:lvl w:ilvl="3">
      <w:start w:val="1"/>
      <w:numFmt w:val="decimal"/>
      <w:lvlText w:val="(%4)"/>
      <w:lvlJc w:val="left"/>
      <w:pPr>
        <w:ind w:left="1800" w:hanging="360"/>
      </w:pPr>
      <w:rPr/>
    </w:lvl>
    <w:lvl w:ilvl="4">
      <w:start w:val="1"/>
      <w:numFmt w:val="lowerLetter"/>
      <w:lvlText w:val="(%5)"/>
      <w:lvlJc w:val="left"/>
      <w:pPr>
        <w:ind w:left="2160" w:hanging="360"/>
      </w:pPr>
      <w:rPr/>
    </w:lvl>
    <w:lvl w:ilvl="5">
      <w:start w:val="1"/>
      <w:numFmt w:val="lowerRoman"/>
      <w:lvlText w:val="(%6)"/>
      <w:lvlJc w:val="left"/>
      <w:pPr>
        <w:ind w:left="2520" w:hanging="360"/>
      </w:pPr>
      <w:rPr/>
    </w:lvl>
    <w:lvl w:ilvl="6">
      <w:start w:val="1"/>
      <w:numFmt w:val="decimal"/>
      <w:lvlText w:val="%7."/>
      <w:lvlJc w:val="left"/>
      <w:pPr>
        <w:ind w:left="2880" w:hanging="360"/>
      </w:pPr>
      <w:rPr/>
    </w:lvl>
    <w:lvl w:ilvl="7">
      <w:start w:val="1"/>
      <w:numFmt w:val="lowerLetter"/>
      <w:lvlText w:val="%8."/>
      <w:lvlJc w:val="left"/>
      <w:pPr>
        <w:ind w:left="3240" w:hanging="360"/>
      </w:pPr>
      <w:rPr/>
    </w:lvl>
    <w:lvl w:ilvl="8">
      <w:start w:val="1"/>
      <w:numFmt w:val="lowerRoman"/>
      <w:lvlText w:val="%9."/>
      <w:lvlJc w:val="left"/>
      <w:pPr>
        <w:ind w:left="3600" w:hanging="360"/>
      </w:pPr>
      <w:rPr/>
    </w:lvl>
  </w:abstractNum>
  <w:abstractNum w:abstractNumId="7">
    <w:lvl w:ilvl="0">
      <w:start w:val="1"/>
      <w:numFmt w:val="decimal"/>
      <w:lvlText w:val="(%1)"/>
      <w:lvlJc w:val="left"/>
      <w:pPr>
        <w:ind w:left="567" w:hanging="567"/>
      </w:pPr>
      <w:rPr>
        <w:rFonts w:ascii="Arial" w:cs="Arial" w:eastAsia="Arial" w:hAnsi="Arial"/>
        <w:b w:val="0"/>
        <w:i w:val="0"/>
        <w:strike w:val="0"/>
        <w:sz w:val="22"/>
        <w:szCs w:val="22"/>
        <w:vertAlign w:val="baseline"/>
      </w:rPr>
    </w:lvl>
    <w:lvl w:ilvl="1">
      <w:start w:val="1"/>
      <w:numFmt w:val="lowerLetter"/>
      <w:lvlText w:val="%2)"/>
      <w:lvlJc w:val="left"/>
      <w:pPr>
        <w:ind w:left="1021" w:hanging="454"/>
      </w:pPr>
      <w:rPr/>
    </w:lvl>
    <w:lvl w:ilvl="2">
      <w:start w:val="1"/>
      <w:numFmt w:val="lowerRoman"/>
      <w:lvlText w:val="%3)"/>
      <w:lvlJc w:val="left"/>
      <w:pPr>
        <w:ind w:left="1440" w:hanging="360"/>
      </w:pPr>
      <w:rPr/>
    </w:lvl>
    <w:lvl w:ilvl="3">
      <w:start w:val="1"/>
      <w:numFmt w:val="decimal"/>
      <w:lvlText w:val="(%4)"/>
      <w:lvlJc w:val="left"/>
      <w:pPr>
        <w:ind w:left="1800" w:hanging="360"/>
      </w:pPr>
      <w:rPr/>
    </w:lvl>
    <w:lvl w:ilvl="4">
      <w:start w:val="1"/>
      <w:numFmt w:val="lowerLetter"/>
      <w:lvlText w:val="(%5)"/>
      <w:lvlJc w:val="left"/>
      <w:pPr>
        <w:ind w:left="2160" w:hanging="360"/>
      </w:pPr>
      <w:rPr/>
    </w:lvl>
    <w:lvl w:ilvl="5">
      <w:start w:val="1"/>
      <w:numFmt w:val="lowerRoman"/>
      <w:lvlText w:val="(%6)"/>
      <w:lvlJc w:val="left"/>
      <w:pPr>
        <w:ind w:left="2520" w:hanging="360"/>
      </w:pPr>
      <w:rPr/>
    </w:lvl>
    <w:lvl w:ilvl="6">
      <w:start w:val="1"/>
      <w:numFmt w:val="decimal"/>
      <w:lvlText w:val="%7."/>
      <w:lvlJc w:val="left"/>
      <w:pPr>
        <w:ind w:left="2880" w:hanging="360"/>
      </w:pPr>
      <w:rPr/>
    </w:lvl>
    <w:lvl w:ilvl="7">
      <w:start w:val="1"/>
      <w:numFmt w:val="lowerLetter"/>
      <w:lvlText w:val="%8."/>
      <w:lvlJc w:val="left"/>
      <w:pPr>
        <w:ind w:left="3240" w:hanging="360"/>
      </w:pPr>
      <w:rPr/>
    </w:lvl>
    <w:lvl w:ilvl="8">
      <w:start w:val="1"/>
      <w:numFmt w:val="lowerRoman"/>
      <w:lvlText w:val="%9."/>
      <w:lvlJc w:val="left"/>
      <w:pPr>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cs-C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jc w:val="both"/>
    </w:pPr>
    <w:rPr>
      <w:u w:val="singl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iAXMvWNHE2KJw83sHK7wVfJJEg==">CgMxLjAyCGguZ2pkZ3hzOAByITFQQ0xtU2tFSjlWVEd2blJLVFZrWHpYQTgzVGxfT3VpNQ==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