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7002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215A14E" w14:textId="5F3CD458" w:rsidR="003A11AF" w:rsidRDefault="003A11AF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OBECNĚ ZÁVAZNÁ VYHLÁŠKA </w:t>
      </w:r>
    </w:p>
    <w:p w14:paraId="556DEEFF" w14:textId="521089EE" w:rsidR="00A274BC" w:rsidRPr="003A11AF" w:rsidRDefault="003A11AF" w:rsidP="00A274BC">
      <w:pPr>
        <w:pStyle w:val="Zkladntext"/>
        <w:spacing w:after="0"/>
        <w:jc w:val="center"/>
        <w:rPr>
          <w:rFonts w:ascii="Arial" w:hAnsi="Arial" w:cs="Arial"/>
          <w:b/>
          <w:caps/>
          <w:color w:val="000000"/>
          <w:szCs w:val="24"/>
        </w:rPr>
      </w:pPr>
      <w:r w:rsidRPr="003A11AF">
        <w:rPr>
          <w:rFonts w:ascii="Arial" w:hAnsi="Arial" w:cs="Arial"/>
          <w:b/>
          <w:caps/>
          <w:szCs w:val="24"/>
        </w:rPr>
        <w:t>Ob</w:t>
      </w:r>
      <w:r w:rsidR="00A274BC" w:rsidRPr="003A11AF">
        <w:rPr>
          <w:rFonts w:ascii="Arial" w:hAnsi="Arial" w:cs="Arial"/>
          <w:b/>
          <w:caps/>
          <w:szCs w:val="24"/>
        </w:rPr>
        <w:t>c</w:t>
      </w:r>
      <w:r w:rsidRPr="003A11AF">
        <w:rPr>
          <w:rFonts w:ascii="Arial" w:hAnsi="Arial" w:cs="Arial"/>
          <w:b/>
          <w:caps/>
          <w:szCs w:val="24"/>
        </w:rPr>
        <w:t>E</w:t>
      </w:r>
      <w:r w:rsidR="00A274BC" w:rsidRPr="003A11AF">
        <w:rPr>
          <w:rFonts w:ascii="Arial" w:hAnsi="Arial" w:cs="Arial"/>
          <w:b/>
          <w:caps/>
          <w:szCs w:val="24"/>
        </w:rPr>
        <w:t xml:space="preserve"> </w:t>
      </w:r>
      <w:r w:rsidR="00E13E2B" w:rsidRPr="003A11AF">
        <w:rPr>
          <w:rFonts w:ascii="Arial" w:hAnsi="Arial" w:cs="Arial"/>
          <w:b/>
          <w:caps/>
          <w:szCs w:val="24"/>
        </w:rPr>
        <w:t>Staré Těchanovice</w:t>
      </w:r>
    </w:p>
    <w:p w14:paraId="75769F20" w14:textId="7C9E84F4" w:rsidR="00A274BC" w:rsidRPr="000777F7" w:rsidRDefault="003A11AF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č. 1/2009</w:t>
      </w:r>
    </w:p>
    <w:p w14:paraId="06311E91" w14:textId="52F5A975" w:rsidR="00776A2C" w:rsidRPr="00355823" w:rsidRDefault="003A11AF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kterou se stanoví koeficienty pro výpočet daně z nemovitých věcí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3253A570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E13E2B" w:rsidRPr="00E13E2B">
        <w:rPr>
          <w:rFonts w:ascii="Arial" w:hAnsi="Arial" w:cs="Arial"/>
          <w:sz w:val="22"/>
          <w:szCs w:val="22"/>
        </w:rPr>
        <w:t>Staré Těchanovice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 xml:space="preserve">se dne </w:t>
      </w:r>
      <w:r w:rsidR="00E13E2B">
        <w:rPr>
          <w:rFonts w:ascii="Arial" w:hAnsi="Arial" w:cs="Arial"/>
          <w:sz w:val="22"/>
          <w:szCs w:val="22"/>
        </w:rPr>
        <w:t>2</w:t>
      </w:r>
      <w:r w:rsidR="003A11AF">
        <w:rPr>
          <w:rFonts w:ascii="Arial" w:hAnsi="Arial" w:cs="Arial"/>
          <w:sz w:val="22"/>
          <w:szCs w:val="22"/>
        </w:rPr>
        <w:t>9</w:t>
      </w:r>
      <w:r w:rsidR="00E13E2B">
        <w:rPr>
          <w:rFonts w:ascii="Arial" w:hAnsi="Arial" w:cs="Arial"/>
          <w:sz w:val="22"/>
          <w:szCs w:val="22"/>
        </w:rPr>
        <w:t xml:space="preserve">. </w:t>
      </w:r>
      <w:r w:rsidR="003A11AF">
        <w:rPr>
          <w:rFonts w:ascii="Arial" w:hAnsi="Arial" w:cs="Arial"/>
          <w:sz w:val="22"/>
          <w:szCs w:val="22"/>
        </w:rPr>
        <w:t xml:space="preserve">6. </w:t>
      </w:r>
      <w:r w:rsidR="00E13E2B">
        <w:rPr>
          <w:rFonts w:ascii="Arial" w:hAnsi="Arial" w:cs="Arial"/>
          <w:sz w:val="22"/>
          <w:szCs w:val="22"/>
        </w:rPr>
        <w:t>20</w:t>
      </w:r>
      <w:r w:rsidR="003A11AF">
        <w:rPr>
          <w:rFonts w:ascii="Arial" w:hAnsi="Arial" w:cs="Arial"/>
          <w:sz w:val="22"/>
          <w:szCs w:val="22"/>
        </w:rPr>
        <w:t>09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 xml:space="preserve">usneslo </w:t>
      </w:r>
      <w:r w:rsidR="003A11AF">
        <w:rPr>
          <w:rFonts w:ascii="Arial" w:hAnsi="Arial" w:cs="Arial"/>
          <w:sz w:val="22"/>
          <w:szCs w:val="22"/>
        </w:rPr>
        <w:t>na základě ust.</w:t>
      </w:r>
      <w:r w:rsidR="00776A2C" w:rsidRPr="00E13E2B">
        <w:rPr>
          <w:rFonts w:ascii="Arial" w:hAnsi="Arial" w:cs="Arial"/>
          <w:sz w:val="22"/>
          <w:szCs w:val="22"/>
        </w:rPr>
        <w:t xml:space="preserve"> § 10 písm. </w:t>
      </w:r>
      <w:r w:rsidR="003A11AF">
        <w:rPr>
          <w:rFonts w:ascii="Arial" w:hAnsi="Arial" w:cs="Arial"/>
          <w:sz w:val="22"/>
          <w:szCs w:val="22"/>
        </w:rPr>
        <w:t>d) a ust.</w:t>
      </w:r>
      <w:r w:rsidR="00D62716" w:rsidRPr="00E13E2B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 xml:space="preserve">§ 84 odst. 2 písm. h) zákona č. 128/2000 Sb., o obcích </w:t>
      </w:r>
      <w:r w:rsidR="003A11AF">
        <w:rPr>
          <w:rFonts w:ascii="Arial" w:hAnsi="Arial" w:cs="Arial"/>
          <w:sz w:val="22"/>
          <w:szCs w:val="22"/>
        </w:rPr>
        <w:t>[</w:t>
      </w:r>
      <w:r w:rsidR="00776A2C" w:rsidRPr="00355823">
        <w:rPr>
          <w:rFonts w:ascii="Arial" w:hAnsi="Arial" w:cs="Arial"/>
          <w:sz w:val="22"/>
          <w:szCs w:val="22"/>
        </w:rPr>
        <w:t>obecní zřízení</w:t>
      </w:r>
      <w:r w:rsidR="003A11AF">
        <w:rPr>
          <w:rFonts w:ascii="Arial" w:hAnsi="Arial" w:cs="Arial"/>
          <w:sz w:val="22"/>
          <w:szCs w:val="22"/>
        </w:rPr>
        <w:t>]</w:t>
      </w:r>
      <w:r w:rsidR="00776A2C" w:rsidRPr="00355823">
        <w:rPr>
          <w:rFonts w:ascii="Arial" w:hAnsi="Arial" w:cs="Arial"/>
          <w:sz w:val="22"/>
          <w:szCs w:val="22"/>
        </w:rPr>
        <w:t xml:space="preserve">, </w:t>
      </w:r>
      <w:r w:rsidR="003A11AF">
        <w:rPr>
          <w:rFonts w:ascii="Arial" w:hAnsi="Arial" w:cs="Arial"/>
          <w:sz w:val="22"/>
          <w:szCs w:val="22"/>
        </w:rPr>
        <w:t>v platném</w:t>
      </w:r>
      <w:r w:rsidR="00776A2C" w:rsidRPr="00355823">
        <w:rPr>
          <w:rFonts w:ascii="Arial" w:hAnsi="Arial" w:cs="Arial"/>
          <w:sz w:val="22"/>
          <w:szCs w:val="22"/>
        </w:rPr>
        <w:t xml:space="preserve"> znění</w:t>
      </w:r>
      <w:r w:rsidR="003A11AF">
        <w:rPr>
          <w:rFonts w:ascii="Arial" w:hAnsi="Arial" w:cs="Arial"/>
          <w:sz w:val="22"/>
          <w:szCs w:val="22"/>
        </w:rPr>
        <w:t xml:space="preserve">, a ust. § 6 odst. 4 a § 11 odst. 3 zákona č. 338/1992 Sb., o dani z nemovitostí, v platném znění, vydat </w:t>
      </w:r>
      <w:r w:rsidR="00776A2C" w:rsidRPr="00355823">
        <w:rPr>
          <w:rFonts w:ascii="Arial" w:hAnsi="Arial" w:cs="Arial"/>
          <w:sz w:val="22"/>
          <w:szCs w:val="22"/>
        </w:rPr>
        <w:t>tuto obecně závaznou vyhlášku</w:t>
      </w:r>
      <w:r w:rsidR="003A11AF">
        <w:rPr>
          <w:rFonts w:ascii="Arial" w:hAnsi="Arial" w:cs="Arial"/>
          <w:sz w:val="22"/>
          <w:szCs w:val="22"/>
        </w:rPr>
        <w:t>, kterou se stanoví koeficienty pro výpočet daně z nemovitostí:</w:t>
      </w:r>
    </w:p>
    <w:p w14:paraId="3D10227D" w14:textId="77777777" w:rsidR="00776A2C" w:rsidRPr="000777F7" w:rsidRDefault="00776A2C" w:rsidP="00776A2C">
      <w:pPr>
        <w:spacing w:after="120"/>
        <w:rPr>
          <w:rFonts w:ascii="Arial" w:hAnsi="Arial" w:cs="Arial"/>
        </w:rPr>
      </w:pPr>
    </w:p>
    <w:p w14:paraId="2F07E7A5" w14:textId="3A9C71A5" w:rsidR="00776A2C" w:rsidRPr="000777F7" w:rsidRDefault="003A11AF" w:rsidP="000777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76A2C" w:rsidRPr="000777F7">
        <w:rPr>
          <w:rFonts w:ascii="Arial" w:hAnsi="Arial" w:cs="Arial"/>
          <w:b/>
        </w:rPr>
        <w:t>l. 1</w:t>
      </w:r>
    </w:p>
    <w:p w14:paraId="26853A4A" w14:textId="5B776363" w:rsidR="00776A2C" w:rsidRPr="00355823" w:rsidRDefault="003A11AF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Koeficienty pro výpočet daně z pozemků</w:t>
      </w:r>
    </w:p>
    <w:p w14:paraId="5CA5D5E4" w14:textId="7EEF73E2" w:rsidR="00776A2C" w:rsidRDefault="003A11AF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ustanovení § 6 odst. 4 písm. b) zákona č. 338/1992 Sb., o dani z nemovitostí, v platném znění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dále též jen „Zákon“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se u stavebních pozemků nacházejících se na území obce Staré Těchanovice stanoví koeficient </w:t>
      </w:r>
    </w:p>
    <w:p w14:paraId="433DB411" w14:textId="77777777" w:rsidR="003A11AF" w:rsidRDefault="003A11AF" w:rsidP="003A11AF">
      <w:pPr>
        <w:pStyle w:val="Odstavecseseznamem"/>
        <w:spacing w:after="120" w:line="276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3131B988" w14:textId="0DB06113" w:rsidR="003A11AF" w:rsidRPr="003A11AF" w:rsidRDefault="003A11AF" w:rsidP="003A11AF">
      <w:pPr>
        <w:pStyle w:val="Odstavecseseznamem"/>
        <w:spacing w:after="120" w:line="276" w:lineRule="auto"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1,4</w:t>
      </w:r>
    </w:p>
    <w:p w14:paraId="1150145E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38AD14" w14:textId="13A56B4B" w:rsidR="00776A2C" w:rsidRPr="000777F7" w:rsidRDefault="003A11AF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76A2C" w:rsidRPr="000777F7">
        <w:rPr>
          <w:rFonts w:ascii="Arial" w:hAnsi="Arial" w:cs="Arial"/>
          <w:b/>
        </w:rPr>
        <w:t>l. 2</w:t>
      </w:r>
    </w:p>
    <w:p w14:paraId="22B83BBB" w14:textId="3FE8E097" w:rsidR="00776A2C" w:rsidRPr="00355823" w:rsidRDefault="003A11AF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>Koeficienty pro výpočet daně ze staveb</w:t>
      </w:r>
      <w:r w:rsidR="00776A2C" w:rsidRPr="000777F7">
        <w:rPr>
          <w:rFonts w:ascii="Arial" w:hAnsi="Arial" w:cs="Arial"/>
          <w:b/>
        </w:rPr>
        <w:t xml:space="preserve"> </w:t>
      </w:r>
    </w:p>
    <w:p w14:paraId="10D83740" w14:textId="6F27197F" w:rsidR="00776A2C" w:rsidRDefault="003A11AF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ustanovení § 11 odst. 3 písm. </w:t>
      </w:r>
      <w:r w:rsidR="00D559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Zákona se </w:t>
      </w:r>
      <w:r w:rsidR="00D5596E">
        <w:rPr>
          <w:rFonts w:ascii="Arial" w:hAnsi="Arial" w:cs="Arial"/>
          <w:sz w:val="22"/>
          <w:szCs w:val="22"/>
        </w:rPr>
        <w:t xml:space="preserve">u obytných domů a ostatních staveb tvořících příslušenství k obytným domům </w:t>
      </w:r>
      <w:r w:rsidR="00D5596E">
        <w:rPr>
          <w:rFonts w:ascii="Arial" w:hAnsi="Arial" w:cs="Arial"/>
          <w:sz w:val="22"/>
          <w:szCs w:val="22"/>
        </w:rPr>
        <w:t xml:space="preserve">[§ 11 odst. 1 písm. </w:t>
      </w:r>
      <w:r w:rsidR="00D5596E">
        <w:rPr>
          <w:rFonts w:ascii="Arial" w:hAnsi="Arial" w:cs="Arial"/>
          <w:sz w:val="22"/>
          <w:szCs w:val="22"/>
        </w:rPr>
        <w:t>a</w:t>
      </w:r>
      <w:r w:rsidR="00D5596E">
        <w:rPr>
          <w:rFonts w:ascii="Arial" w:hAnsi="Arial" w:cs="Arial"/>
          <w:sz w:val="22"/>
          <w:szCs w:val="22"/>
        </w:rPr>
        <w:t>) Zákona]</w:t>
      </w:r>
      <w:r w:rsidR="00D5596E">
        <w:rPr>
          <w:rFonts w:ascii="Arial" w:hAnsi="Arial" w:cs="Arial"/>
          <w:sz w:val="22"/>
          <w:szCs w:val="22"/>
        </w:rPr>
        <w:t xml:space="preserve"> a u bytů a ostatních samostatných nebytových prostorů </w:t>
      </w:r>
      <w:r w:rsidR="00D5596E">
        <w:rPr>
          <w:rFonts w:ascii="Arial" w:hAnsi="Arial" w:cs="Arial"/>
          <w:sz w:val="22"/>
          <w:szCs w:val="22"/>
        </w:rPr>
        <w:t xml:space="preserve">[§ 11 odst. 1 písm. </w:t>
      </w:r>
      <w:r w:rsidR="00D5596E">
        <w:rPr>
          <w:rFonts w:ascii="Arial" w:hAnsi="Arial" w:cs="Arial"/>
          <w:sz w:val="22"/>
          <w:szCs w:val="22"/>
        </w:rPr>
        <w:t>f</w:t>
      </w:r>
      <w:r w:rsidR="00D5596E">
        <w:rPr>
          <w:rFonts w:ascii="Arial" w:hAnsi="Arial" w:cs="Arial"/>
          <w:sz w:val="22"/>
          <w:szCs w:val="22"/>
        </w:rPr>
        <w:t>) Zákona]</w:t>
      </w:r>
      <w:r w:rsidR="00D5596E">
        <w:rPr>
          <w:rFonts w:ascii="Arial" w:hAnsi="Arial" w:cs="Arial"/>
          <w:sz w:val="22"/>
          <w:szCs w:val="22"/>
        </w:rPr>
        <w:t xml:space="preserve">, nacházejících se na území Obce Staré Těchanovice, stanoví koeficient </w:t>
      </w:r>
    </w:p>
    <w:p w14:paraId="6B7B2AD5" w14:textId="77777777" w:rsidR="00D5596E" w:rsidRDefault="00D5596E" w:rsidP="00D5596E">
      <w:pPr>
        <w:pStyle w:val="Odstavecseseznamem"/>
        <w:keepNext/>
        <w:keepLines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D62C0A" w14:textId="3B92029E" w:rsidR="00D5596E" w:rsidRPr="00D5596E" w:rsidRDefault="00D5596E" w:rsidP="00D5596E">
      <w:pPr>
        <w:keepNext/>
        <w:keepLines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1,4</w:t>
      </w:r>
    </w:p>
    <w:p w14:paraId="67C1B2F3" w14:textId="77777777" w:rsidR="0062516F" w:rsidRPr="00355823" w:rsidRDefault="0062516F" w:rsidP="000777F7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C74C205" w14:textId="5913F8D4" w:rsidR="0062516F" w:rsidRDefault="00D5596E" w:rsidP="003A11AF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ustanovení § 11 odst. 3 písm. b) Zákona se stanoví pro celé území Obce Staré Těchanovice koeficient </w:t>
      </w:r>
      <w:r>
        <w:rPr>
          <w:rFonts w:ascii="Arial" w:hAnsi="Arial" w:cs="Arial"/>
          <w:b/>
          <w:sz w:val="22"/>
          <w:szCs w:val="22"/>
        </w:rPr>
        <w:t xml:space="preserve">1,5 </w:t>
      </w:r>
      <w:r>
        <w:rPr>
          <w:rFonts w:ascii="Arial" w:hAnsi="Arial" w:cs="Arial"/>
          <w:sz w:val="22"/>
          <w:szCs w:val="22"/>
        </w:rPr>
        <w:t>pro násobení základní sazby daně [případně zvýšené dle ust. § 11 odst. 2 Zákona ] u těchto staveb:</w:t>
      </w:r>
    </w:p>
    <w:p w14:paraId="0DDE2C5D" w14:textId="7F37A797" w:rsidR="00643710" w:rsidRDefault="00D5596E" w:rsidP="00643710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staveb pro individuální rekreaci a rodinných domů využívaných pro individuální rekreaci a u staveb, které plní doplňkovou funkci k těmto stavbám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§ 11 odst. 1 písm. b) Zákona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;</w:t>
      </w:r>
    </w:p>
    <w:p w14:paraId="5F3997FB" w14:textId="0810B75C" w:rsidR="00156961" w:rsidRDefault="00D5596E" w:rsidP="00156961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garáží vystavěných odděleně od obytných domů a u samostatných nebytových prostorů užívaných jako garáže </w:t>
      </w:r>
      <w:r>
        <w:rPr>
          <w:rFonts w:ascii="Arial" w:hAnsi="Arial" w:cs="Arial"/>
          <w:sz w:val="22"/>
          <w:szCs w:val="22"/>
        </w:rPr>
        <w:t xml:space="preserve">[§ 11 odst. 1 písm.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Zákona]</w:t>
      </w:r>
      <w:r>
        <w:rPr>
          <w:rFonts w:ascii="Arial" w:hAnsi="Arial" w:cs="Arial"/>
          <w:sz w:val="22"/>
          <w:szCs w:val="22"/>
        </w:rPr>
        <w:t>;</w:t>
      </w:r>
    </w:p>
    <w:p w14:paraId="0456FCFF" w14:textId="1F7B912B" w:rsidR="00D5596E" w:rsidRDefault="00D5596E" w:rsidP="00156961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staveb užívaných pro podnikatelskou činnost a samostatných nebytových prostorů užívaných pro podnikatelskou činnost </w:t>
      </w:r>
      <w:r>
        <w:rPr>
          <w:rFonts w:ascii="Arial" w:hAnsi="Arial" w:cs="Arial"/>
          <w:sz w:val="22"/>
          <w:szCs w:val="22"/>
        </w:rPr>
        <w:t xml:space="preserve">[§ 11 odst. 1 písm.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bod 1, 2, 3</w:t>
      </w:r>
      <w:r>
        <w:rPr>
          <w:rFonts w:ascii="Arial" w:hAnsi="Arial" w:cs="Arial"/>
          <w:sz w:val="22"/>
          <w:szCs w:val="22"/>
        </w:rPr>
        <w:t xml:space="preserve"> Zákona]</w:t>
      </w:r>
      <w:r>
        <w:rPr>
          <w:rFonts w:ascii="Arial" w:hAnsi="Arial" w:cs="Arial"/>
          <w:sz w:val="22"/>
          <w:szCs w:val="22"/>
        </w:rPr>
        <w:t>.</w:t>
      </w:r>
    </w:p>
    <w:p w14:paraId="67FF0572" w14:textId="77777777" w:rsidR="00156961" w:rsidRPr="00156961" w:rsidRDefault="00156961" w:rsidP="0015696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885ED6" w14:textId="01B55D1D" w:rsidR="00156961" w:rsidRPr="00156961" w:rsidRDefault="00D5596E" w:rsidP="001569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156961" w:rsidRPr="00156961">
        <w:rPr>
          <w:rFonts w:ascii="Arial" w:hAnsi="Arial" w:cs="Arial"/>
          <w:b/>
        </w:rPr>
        <w:t>l. 3</w:t>
      </w:r>
    </w:p>
    <w:p w14:paraId="6DAB0BBC" w14:textId="5EF6644D" w:rsidR="00156961" w:rsidRPr="00156961" w:rsidRDefault="00D5596E" w:rsidP="0015696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Závěrečná</w:t>
      </w:r>
      <w:r w:rsidR="00156961">
        <w:rPr>
          <w:rFonts w:ascii="Arial" w:hAnsi="Arial" w:cs="Arial"/>
          <w:b/>
        </w:rPr>
        <w:t xml:space="preserve"> ustanovení</w:t>
      </w:r>
    </w:p>
    <w:p w14:paraId="467D5368" w14:textId="77777777" w:rsidR="00DB5D3F" w:rsidRDefault="00156961" w:rsidP="00DB5D3F">
      <w:pPr>
        <w:pStyle w:val="Odstavecseseznamem"/>
        <w:keepNext/>
        <w:keepLines/>
        <w:numPr>
          <w:ilvl w:val="0"/>
          <w:numId w:val="34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="00DB5D3F">
        <w:rPr>
          <w:rFonts w:ascii="Arial" w:hAnsi="Arial" w:cs="Arial"/>
          <w:sz w:val="22"/>
          <w:szCs w:val="22"/>
        </w:rPr>
        <w:t>Obce Staré Těchanovice č. 1/2002 o použití koeficientu pro výpočet daně z nemovitostí ze dne 18. 2. 2002.</w:t>
      </w:r>
    </w:p>
    <w:p w14:paraId="71B885F4" w14:textId="77777777" w:rsidR="00DB5D3F" w:rsidRDefault="00DB5D3F" w:rsidP="00DB5D3F">
      <w:pPr>
        <w:pStyle w:val="Odstavecseseznamem"/>
        <w:keepNext/>
        <w:keepLines/>
        <w:numPr>
          <w:ilvl w:val="0"/>
          <w:numId w:val="34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Koeficienty pro výpočet </w:t>
      </w:r>
      <w:r>
        <w:rPr>
          <w:rFonts w:ascii="Arial" w:hAnsi="Arial" w:cs="Arial"/>
          <w:sz w:val="22"/>
          <w:szCs w:val="22"/>
        </w:rPr>
        <w:t>daně z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nemovitostí</w:t>
      </w:r>
      <w:r>
        <w:rPr>
          <w:rFonts w:ascii="Arial" w:hAnsi="Arial" w:cs="Arial"/>
          <w:sz w:val="22"/>
          <w:szCs w:val="22"/>
        </w:rPr>
        <w:t xml:space="preserve"> stanovené touto obecně závaznou vyhláškou se použijí poprvé pro zdaňovací období roku 2010.</w:t>
      </w:r>
    </w:p>
    <w:p w14:paraId="2C78207F" w14:textId="18C0E713" w:rsidR="00C90CF7" w:rsidRPr="00DB5D3F" w:rsidRDefault="00C90CF7" w:rsidP="00DB5D3F">
      <w:pPr>
        <w:pStyle w:val="Odstavecseseznamem"/>
        <w:keepNext/>
        <w:keepLines/>
        <w:numPr>
          <w:ilvl w:val="0"/>
          <w:numId w:val="34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5D3F">
        <w:rPr>
          <w:rFonts w:ascii="Arial" w:hAnsi="Arial" w:cs="Arial"/>
          <w:sz w:val="22"/>
          <w:szCs w:val="22"/>
        </w:rPr>
        <w:t xml:space="preserve">Tato </w:t>
      </w:r>
      <w:r w:rsidR="00DB5D3F">
        <w:rPr>
          <w:rFonts w:ascii="Arial" w:hAnsi="Arial" w:cs="Arial"/>
          <w:sz w:val="22"/>
          <w:szCs w:val="22"/>
        </w:rPr>
        <w:t>obecně závazná vyhláška nabývá účinnosti dne</w:t>
      </w:r>
      <w:r w:rsidRPr="00DB5D3F">
        <w:rPr>
          <w:rFonts w:ascii="Arial" w:hAnsi="Arial" w:cs="Arial"/>
          <w:sz w:val="22"/>
          <w:szCs w:val="22"/>
        </w:rPr>
        <w:t xml:space="preserve"> </w:t>
      </w:r>
      <w:r w:rsidR="00E13E2B" w:rsidRPr="00DB5D3F">
        <w:rPr>
          <w:rFonts w:ascii="Arial" w:hAnsi="Arial" w:cs="Arial"/>
          <w:sz w:val="22"/>
          <w:szCs w:val="22"/>
        </w:rPr>
        <w:t xml:space="preserve">1. </w:t>
      </w:r>
      <w:r w:rsidR="00DB5D3F">
        <w:rPr>
          <w:rFonts w:ascii="Arial" w:hAnsi="Arial" w:cs="Arial"/>
          <w:sz w:val="22"/>
          <w:szCs w:val="22"/>
        </w:rPr>
        <w:t>1.</w:t>
      </w:r>
      <w:r w:rsidR="00E13E2B" w:rsidRPr="00DB5D3F">
        <w:rPr>
          <w:rFonts w:ascii="Arial" w:hAnsi="Arial" w:cs="Arial"/>
          <w:sz w:val="22"/>
          <w:szCs w:val="22"/>
        </w:rPr>
        <w:t xml:space="preserve"> 20</w:t>
      </w:r>
      <w:r w:rsidR="00DB5D3F">
        <w:rPr>
          <w:rFonts w:ascii="Arial" w:hAnsi="Arial" w:cs="Arial"/>
          <w:sz w:val="22"/>
          <w:szCs w:val="22"/>
        </w:rPr>
        <w:t>10</w:t>
      </w:r>
      <w:r w:rsidR="00E13E2B" w:rsidRPr="00DB5D3F">
        <w:rPr>
          <w:rFonts w:ascii="Arial" w:hAnsi="Arial" w:cs="Arial"/>
          <w:sz w:val="22"/>
          <w:szCs w:val="22"/>
        </w:rPr>
        <w:t>.</w:t>
      </w:r>
      <w:r w:rsidRPr="00DB5D3F">
        <w:rPr>
          <w:rFonts w:ascii="Arial" w:hAnsi="Arial" w:cs="Arial"/>
          <w:sz w:val="22"/>
          <w:szCs w:val="22"/>
        </w:rPr>
        <w:t xml:space="preserve"> </w:t>
      </w:r>
    </w:p>
    <w:p w14:paraId="372B8263" w14:textId="77777777" w:rsidR="00876A14" w:rsidRPr="00355823" w:rsidRDefault="00876A14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3E2B" w14:paraId="063248EA" w14:textId="77777777" w:rsidTr="00CB6B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C239D" w14:textId="37B0559F" w:rsidR="00E13E2B" w:rsidRDefault="00DB5D3F" w:rsidP="00CB6BCA">
            <w:pPr>
              <w:pStyle w:val="PodpisovePole"/>
            </w:pPr>
            <w:r>
              <w:t>Ludmila Haferníková</w:t>
            </w:r>
            <w:r w:rsidR="00E13E2B">
              <w:t xml:space="preserve"> v. r.</w:t>
            </w:r>
            <w:r w:rsidR="00E13E2B">
              <w:br/>
              <w:t xml:space="preserve"> </w:t>
            </w:r>
            <w:r>
              <w:t>místo</w:t>
            </w:r>
            <w:r w:rsidR="00E13E2B">
              <w:t>starost</w:t>
            </w:r>
            <w:r>
              <w:t>k</w:t>
            </w:r>
            <w:r w:rsidR="00E13E2B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1195" w14:textId="7ED2955F" w:rsidR="00E13E2B" w:rsidRDefault="00DB5D3F" w:rsidP="00CB6BCA">
            <w:pPr>
              <w:pStyle w:val="PodpisovePole"/>
            </w:pPr>
            <w:r>
              <w:t>Luděk Kozák v. r.</w:t>
            </w:r>
            <w:r>
              <w:br/>
              <w:t xml:space="preserve"> </w:t>
            </w:r>
            <w:bookmarkStart w:id="1" w:name="_GoBack"/>
            <w:bookmarkEnd w:id="1"/>
            <w:r w:rsidR="00E13E2B">
              <w:t>starosta</w:t>
            </w:r>
          </w:p>
        </w:tc>
      </w:tr>
    </w:tbl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162C28F2" w:rsidR="00676B75" w:rsidRPr="000777F7" w:rsidRDefault="00676B75" w:rsidP="00DA02A0">
      <w:pPr>
        <w:spacing w:after="120"/>
        <w:jc w:val="both"/>
        <w:rPr>
          <w:color w:val="ED7D31" w:themeColor="accent2"/>
          <w:sz w:val="20"/>
          <w:szCs w:val="20"/>
        </w:rPr>
      </w:pP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27199" w14:textId="77777777" w:rsidR="002B2858" w:rsidRDefault="002B2858">
      <w:r>
        <w:separator/>
      </w:r>
    </w:p>
  </w:endnote>
  <w:endnote w:type="continuationSeparator" w:id="0">
    <w:p w14:paraId="2F1400B6" w14:textId="77777777" w:rsidR="002B2858" w:rsidRDefault="002B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E6065" w14:textId="77777777" w:rsidR="002B2858" w:rsidRDefault="002B2858">
      <w:r>
        <w:separator/>
      </w:r>
    </w:p>
  </w:footnote>
  <w:footnote w:type="continuationSeparator" w:id="0">
    <w:p w14:paraId="35807FBB" w14:textId="77777777" w:rsidR="002B2858" w:rsidRDefault="002B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0A20AA"/>
    <w:multiLevelType w:val="hybridMultilevel"/>
    <w:tmpl w:val="013822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387106"/>
    <w:multiLevelType w:val="hybridMultilevel"/>
    <w:tmpl w:val="C122EA38"/>
    <w:lvl w:ilvl="0" w:tplc="1BFCE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079DE"/>
    <w:multiLevelType w:val="hybridMultilevel"/>
    <w:tmpl w:val="E57A30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F6C8D"/>
    <w:multiLevelType w:val="hybridMultilevel"/>
    <w:tmpl w:val="C122EA38"/>
    <w:lvl w:ilvl="0" w:tplc="1BFCE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B528EA"/>
    <w:multiLevelType w:val="hybridMultilevel"/>
    <w:tmpl w:val="A4BC5C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26"/>
  </w:num>
  <w:num w:numId="5">
    <w:abstractNumId w:val="23"/>
  </w:num>
  <w:num w:numId="6">
    <w:abstractNumId w:val="29"/>
  </w:num>
  <w:num w:numId="7">
    <w:abstractNumId w:val="12"/>
  </w:num>
  <w:num w:numId="8">
    <w:abstractNumId w:val="0"/>
  </w:num>
  <w:num w:numId="9">
    <w:abstractNumId w:val="28"/>
  </w:num>
  <w:num w:numId="10">
    <w:abstractNumId w:val="3"/>
  </w:num>
  <w:num w:numId="11">
    <w:abstractNumId w:val="17"/>
  </w:num>
  <w:num w:numId="12">
    <w:abstractNumId w:val="20"/>
  </w:num>
  <w:num w:numId="13">
    <w:abstractNumId w:val="30"/>
  </w:num>
  <w:num w:numId="14">
    <w:abstractNumId w:val="27"/>
  </w:num>
  <w:num w:numId="15">
    <w:abstractNumId w:val="13"/>
  </w:num>
  <w:num w:numId="16">
    <w:abstractNumId w:val="6"/>
  </w:num>
  <w:num w:numId="17">
    <w:abstractNumId w:val="7"/>
  </w:num>
  <w:num w:numId="18">
    <w:abstractNumId w:val="9"/>
  </w:num>
  <w:num w:numId="19">
    <w:abstractNumId w:val="9"/>
  </w:num>
  <w:num w:numId="20">
    <w:abstractNumId w:val="16"/>
  </w:num>
  <w:num w:numId="21">
    <w:abstractNumId w:val="2"/>
  </w:num>
  <w:num w:numId="22">
    <w:abstractNumId w:val="19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22"/>
  </w:num>
  <w:num w:numId="28">
    <w:abstractNumId w:val="10"/>
  </w:num>
  <w:num w:numId="29">
    <w:abstractNumId w:val="15"/>
  </w:num>
  <w:num w:numId="30">
    <w:abstractNumId w:val="18"/>
  </w:num>
  <w:num w:numId="31">
    <w:abstractNumId w:val="5"/>
  </w:num>
  <w:num w:numId="32">
    <w:abstractNumId w:val="1"/>
  </w:num>
  <w:num w:numId="33">
    <w:abstractNumId w:val="3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6961"/>
    <w:rsid w:val="00167FA5"/>
    <w:rsid w:val="001961E1"/>
    <w:rsid w:val="001A58E6"/>
    <w:rsid w:val="001A79E1"/>
    <w:rsid w:val="001C4219"/>
    <w:rsid w:val="001D0B27"/>
    <w:rsid w:val="001D4728"/>
    <w:rsid w:val="002000C5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2858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366F"/>
    <w:rsid w:val="00355823"/>
    <w:rsid w:val="003759A2"/>
    <w:rsid w:val="00390732"/>
    <w:rsid w:val="00396228"/>
    <w:rsid w:val="003A11AF"/>
    <w:rsid w:val="003B12D9"/>
    <w:rsid w:val="003B534B"/>
    <w:rsid w:val="003C224E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0236B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3710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76A14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5596E"/>
    <w:rsid w:val="00D62716"/>
    <w:rsid w:val="00D7654C"/>
    <w:rsid w:val="00D846A3"/>
    <w:rsid w:val="00DA02A0"/>
    <w:rsid w:val="00DB5D3F"/>
    <w:rsid w:val="00DD7434"/>
    <w:rsid w:val="00DE4D85"/>
    <w:rsid w:val="00DE7B39"/>
    <w:rsid w:val="00DF2532"/>
    <w:rsid w:val="00DF557D"/>
    <w:rsid w:val="00E046E5"/>
    <w:rsid w:val="00E051CB"/>
    <w:rsid w:val="00E13E2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E13E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2A16-4F2F-441A-B5EA-675EF576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Filip Haferník</cp:lastModifiedBy>
  <cp:revision>2</cp:revision>
  <cp:lastPrinted>2007-03-05T10:30:00Z</cp:lastPrinted>
  <dcterms:created xsi:type="dcterms:W3CDTF">2024-12-06T21:47:00Z</dcterms:created>
  <dcterms:modified xsi:type="dcterms:W3CDTF">2024-12-06T21:47:00Z</dcterms:modified>
</cp:coreProperties>
</file>