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91FDE">
      <w:pPr>
        <w:pStyle w:val="Normlnweb"/>
        <w:spacing w:before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Město Hlinsko</w:t>
      </w:r>
    </w:p>
    <w:p w:rsidR="00000000" w:rsidRDefault="00591FDE">
      <w:pPr>
        <w:pStyle w:val="Normlnweb"/>
        <w:spacing w:before="120"/>
        <w:ind w:right="-82"/>
        <w:jc w:val="center"/>
      </w:pPr>
      <w:r>
        <w:rPr>
          <w:rFonts w:cs="Times New Roman"/>
          <w:b/>
          <w:bCs/>
          <w:sz w:val="28"/>
          <w:szCs w:val="28"/>
        </w:rPr>
        <w:t>Zastupitelstvo města</w:t>
      </w:r>
    </w:p>
    <w:p w:rsidR="00000000" w:rsidRDefault="00591FDE">
      <w:pPr>
        <w:pStyle w:val="Normlnweb"/>
        <w:ind w:right="-1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8985" cy="89281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92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591FDE">
      <w:pPr>
        <w:pStyle w:val="Normlnweb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000000" w:rsidRDefault="00591FDE">
      <w:pPr>
        <w:pStyle w:val="Normlnweb"/>
        <w:ind w:right="283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000000" w:rsidRDefault="00591FDE">
      <w:pPr>
        <w:pStyle w:val="Normlnweb"/>
        <w:spacing w:before="0" w:after="0"/>
        <w:ind w:right="284"/>
        <w:jc w:val="center"/>
        <w:rPr>
          <w:rFonts w:cs="Times New Roman"/>
          <w:b/>
          <w:bCs/>
          <w:sz w:val="28"/>
          <w:szCs w:val="28"/>
          <w:lang w:val="cs-CZ" w:eastAsia="cs-CZ"/>
        </w:rPr>
      </w:pPr>
    </w:p>
    <w:p w:rsidR="00000000" w:rsidRDefault="00591FDE">
      <w:pPr>
        <w:pStyle w:val="Normlnweb"/>
        <w:spacing w:before="0"/>
        <w:ind w:right="-82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Obecně závazná vyhláška</w:t>
      </w:r>
    </w:p>
    <w:p w:rsidR="00000000" w:rsidRDefault="00591FDE">
      <w:pPr>
        <w:pStyle w:val="Normlnweb"/>
        <w:tabs>
          <w:tab w:val="left" w:pos="9638"/>
        </w:tabs>
        <w:spacing w:before="0"/>
        <w:ind w:right="-82"/>
        <w:jc w:val="center"/>
        <w:rPr>
          <w:color w:val="800080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č. 5/2017, </w:t>
      </w:r>
    </w:p>
    <w:p w:rsidR="00000000" w:rsidRDefault="00591FDE">
      <w:pPr>
        <w:pStyle w:val="Zkladntext"/>
        <w:jc w:val="center"/>
        <w:rPr>
          <w:bCs/>
          <w:color w:val="800080"/>
          <w:sz w:val="28"/>
          <w:szCs w:val="28"/>
        </w:rPr>
      </w:pPr>
      <w:r>
        <w:rPr>
          <w:color w:val="800080"/>
          <w:sz w:val="28"/>
          <w:szCs w:val="28"/>
        </w:rPr>
        <w:t>k zabezpečení místních záležitostí veřejného pořádku na veřejných prostranstvích</w:t>
      </w:r>
    </w:p>
    <w:p w:rsidR="00000000" w:rsidRDefault="00591FDE">
      <w:pPr>
        <w:pStyle w:val="Normlnweb"/>
        <w:spacing w:before="0" w:after="0"/>
        <w:ind w:right="284"/>
        <w:jc w:val="center"/>
        <w:rPr>
          <w:rFonts w:cs="Times New Roman"/>
          <w:b/>
          <w:bCs/>
          <w:color w:val="800080"/>
          <w:sz w:val="28"/>
          <w:szCs w:val="28"/>
        </w:rPr>
      </w:pPr>
    </w:p>
    <w:p w:rsidR="00000000" w:rsidRDefault="00591FDE">
      <w:pPr>
        <w:pStyle w:val="Zkladntextodsazen"/>
        <w:spacing w:after="0" w:line="276" w:lineRule="auto"/>
        <w:ind w:left="0"/>
        <w:jc w:val="both"/>
        <w:rPr>
          <w:b/>
        </w:rPr>
      </w:pPr>
      <w:r>
        <w:rPr>
          <w:b/>
        </w:rPr>
        <w:t>Zastupitelstvo města Hlinska se na svém zasedání dne 8. března 2017 usnesením č. ZM/81</w:t>
      </w:r>
      <w:r>
        <w:rPr>
          <w:b/>
          <w:strike/>
        </w:rPr>
        <w:t xml:space="preserve"> </w:t>
      </w:r>
      <w:r>
        <w:rPr>
          <w:b/>
        </w:rPr>
        <w:t>usneslo vyd</w:t>
      </w:r>
      <w:r>
        <w:rPr>
          <w:b/>
        </w:rPr>
        <w:t>at na základě ustanovení § 10 písm. a) a § 84 odst. 2 písm. h) zákona č. 128/2000 Sb., o obcích (obecní zřízení), ve znění pozdějších předpisů, tuto obecně závaznou vyhlášku (dále jen „vyhláška“):</w:t>
      </w:r>
    </w:p>
    <w:p w:rsidR="00000000" w:rsidRDefault="00591FDE">
      <w:pPr>
        <w:jc w:val="center"/>
        <w:rPr>
          <w:b/>
        </w:rPr>
      </w:pPr>
    </w:p>
    <w:p w:rsidR="00000000" w:rsidRDefault="00591FDE">
      <w:pPr>
        <w:jc w:val="center"/>
        <w:rPr>
          <w:b/>
        </w:rPr>
      </w:pPr>
      <w:r>
        <w:rPr>
          <w:b/>
        </w:rPr>
        <w:t>Čl. 1</w:t>
      </w:r>
    </w:p>
    <w:p w:rsidR="00000000" w:rsidRDefault="00591FDE">
      <w:pPr>
        <w:jc w:val="center"/>
        <w:rPr>
          <w:b/>
        </w:rPr>
      </w:pPr>
      <w:r>
        <w:rPr>
          <w:b/>
        </w:rPr>
        <w:t xml:space="preserve">Předmět a cíl </w:t>
      </w:r>
    </w:p>
    <w:p w:rsidR="00000000" w:rsidRDefault="00591FDE">
      <w:pPr>
        <w:jc w:val="center"/>
        <w:rPr>
          <w:b/>
        </w:rPr>
      </w:pPr>
    </w:p>
    <w:p w:rsidR="00000000" w:rsidRDefault="00591FDE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>
        <w:t xml:space="preserve">Předmětem této vyhlášky je regulace </w:t>
      </w:r>
      <w:r>
        <w:t>činnosti, která by mohla narušit veřejný pořádek ve městě nebo být v rozporu s dobrými mravy, ochranou bezpečnosti, zdraví a majetku.</w:t>
      </w:r>
    </w:p>
    <w:p w:rsidR="00000000" w:rsidRDefault="00591FDE">
      <w:pPr>
        <w:tabs>
          <w:tab w:val="left" w:pos="426"/>
        </w:tabs>
        <w:ind w:left="720"/>
        <w:jc w:val="both"/>
      </w:pPr>
    </w:p>
    <w:p w:rsidR="00000000" w:rsidRDefault="00591FDE">
      <w:pPr>
        <w:tabs>
          <w:tab w:val="left" w:pos="426"/>
        </w:tabs>
        <w:suppressAutoHyphens w:val="0"/>
        <w:overflowPunct w:val="0"/>
        <w:autoSpaceDE w:val="0"/>
        <w:ind w:left="426" w:hanging="426"/>
        <w:jc w:val="both"/>
        <w:rPr>
          <w:b/>
        </w:rPr>
      </w:pPr>
      <w:r>
        <w:t xml:space="preserve">(2) </w:t>
      </w:r>
      <w:r>
        <w:tab/>
        <w:t xml:space="preserve">Cílem této vyhlášky je </w:t>
      </w:r>
      <w:r>
        <w:rPr>
          <w:lang w:eastAsia="cs-CZ"/>
        </w:rPr>
        <w:t xml:space="preserve">vytvoření příznivých podmínek pro život ve městě a </w:t>
      </w:r>
      <w:r>
        <w:t xml:space="preserve">zlepšení estetického vzhledu města.  </w:t>
      </w:r>
    </w:p>
    <w:p w:rsidR="00000000" w:rsidRDefault="00591FDE">
      <w:pPr>
        <w:jc w:val="center"/>
        <w:rPr>
          <w:b/>
        </w:rPr>
      </w:pPr>
    </w:p>
    <w:p w:rsidR="00000000" w:rsidRDefault="00591FDE">
      <w:pPr>
        <w:jc w:val="center"/>
        <w:rPr>
          <w:b/>
          <w:color w:val="000000"/>
        </w:rPr>
      </w:pPr>
      <w:r>
        <w:rPr>
          <w:b/>
        </w:rPr>
        <w:t>Čl.</w:t>
      </w:r>
      <w:r>
        <w:rPr>
          <w:b/>
        </w:rPr>
        <w:t xml:space="preserve"> 2</w:t>
      </w:r>
    </w:p>
    <w:p w:rsidR="00000000" w:rsidRDefault="00591FDE">
      <w:pPr>
        <w:jc w:val="center"/>
        <w:rPr>
          <w:b/>
          <w:color w:val="000000"/>
        </w:rPr>
      </w:pPr>
      <w:r>
        <w:rPr>
          <w:b/>
          <w:color w:val="000000"/>
        </w:rPr>
        <w:t>Zákaz žebrání</w:t>
      </w:r>
    </w:p>
    <w:p w:rsidR="00000000" w:rsidRDefault="00591FDE">
      <w:pPr>
        <w:jc w:val="center"/>
        <w:rPr>
          <w:b/>
          <w:color w:val="000000"/>
        </w:rPr>
      </w:pPr>
    </w:p>
    <w:p w:rsidR="00000000" w:rsidRDefault="00591FDE">
      <w:pPr>
        <w:numPr>
          <w:ilvl w:val="0"/>
          <w:numId w:val="2"/>
        </w:numPr>
        <w:tabs>
          <w:tab w:val="left" w:pos="426"/>
        </w:tabs>
        <w:ind w:left="426" w:hanging="426"/>
      </w:pPr>
      <w:r>
        <w:rPr>
          <w:color w:val="000000"/>
        </w:rPr>
        <w:t>Žebrání se zakazuje na veřejných prostranstvích vyznačených v příloze č. 1 této vyhlášky.</w:t>
      </w:r>
    </w:p>
    <w:p w:rsidR="00000000" w:rsidRDefault="00591FDE">
      <w:pPr>
        <w:tabs>
          <w:tab w:val="left" w:pos="426"/>
        </w:tabs>
        <w:ind w:left="426"/>
      </w:pPr>
    </w:p>
    <w:p w:rsidR="00000000" w:rsidRDefault="00591FDE">
      <w:pPr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>Za žebrání se ve smyslu této vyhlášky nepovažuje:</w:t>
      </w:r>
    </w:p>
    <w:p w:rsidR="00000000" w:rsidRDefault="00591FDE">
      <w:pPr>
        <w:tabs>
          <w:tab w:val="left" w:pos="851"/>
        </w:tabs>
        <w:ind w:left="851" w:hanging="425"/>
        <w:jc w:val="both"/>
      </w:pPr>
      <w:r>
        <w:t xml:space="preserve">a) </w:t>
      </w:r>
      <w:r>
        <w:tab/>
        <w:t>vybírání peněz studenty související s ukončením střední školy – tzv. poslední zvonění,</w:t>
      </w:r>
    </w:p>
    <w:p w:rsidR="00000000" w:rsidRDefault="00591FDE">
      <w:pPr>
        <w:tabs>
          <w:tab w:val="left" w:pos="851"/>
        </w:tabs>
        <w:ind w:left="851" w:hanging="425"/>
        <w:jc w:val="both"/>
      </w:pPr>
      <w:r>
        <w:t xml:space="preserve">b) </w:t>
      </w:r>
      <w:r>
        <w:tab/>
        <w:t>vy</w:t>
      </w:r>
      <w:r>
        <w:t>bírání milodarů členy řeholních řádů (shromáždění finančních prostředků církvemi a náboženskými společnostmi, registrovanými dle zvláštního právního předpisu).</w:t>
      </w:r>
      <w:r>
        <w:rPr>
          <w:rStyle w:val="Znakapoznpodarou1"/>
        </w:rPr>
        <w:footnoteReference w:id="1"/>
      </w:r>
    </w:p>
    <w:p w:rsidR="00000000" w:rsidRDefault="00591FDE">
      <w:pPr>
        <w:tabs>
          <w:tab w:val="left" w:pos="851"/>
        </w:tabs>
        <w:ind w:left="851" w:hanging="425"/>
        <w:jc w:val="both"/>
      </w:pPr>
      <w:r>
        <w:t>c)</w:t>
      </w:r>
      <w:r>
        <w:tab/>
        <w:t xml:space="preserve"> vybírání finančních prostředků v rámci veřejné sbírky a sjednávání dárcovství, při kterém n</w:t>
      </w:r>
      <w:r>
        <w:t>edochází k vybírání finančních prostředků v hotovosti.</w:t>
      </w:r>
      <w:r>
        <w:rPr>
          <w:rStyle w:val="Znakapoznpodarou1"/>
          <w:b/>
        </w:rPr>
        <w:footnoteReference w:id="2"/>
      </w:r>
    </w:p>
    <w:p w:rsidR="00000000" w:rsidRDefault="00591FDE">
      <w:pPr>
        <w:jc w:val="both"/>
      </w:pPr>
    </w:p>
    <w:p w:rsidR="00000000" w:rsidRDefault="00591FDE"/>
    <w:p w:rsidR="00000000" w:rsidRDefault="00591FDE"/>
    <w:p w:rsidR="00000000" w:rsidRDefault="00591FDE">
      <w:pPr>
        <w:pStyle w:val="Normlnweb"/>
        <w:tabs>
          <w:tab w:val="left" w:pos="360"/>
          <w:tab w:val="left" w:pos="720"/>
        </w:tabs>
        <w:spacing w:before="0" w:after="0"/>
        <w:ind w:right="284"/>
        <w:rPr>
          <w:rFonts w:cs="Times New Roman"/>
          <w:b/>
          <w:bCs/>
        </w:rPr>
      </w:pPr>
    </w:p>
    <w:p w:rsidR="00000000" w:rsidRDefault="00591FDE">
      <w:pPr>
        <w:pStyle w:val="Normlnweb"/>
        <w:tabs>
          <w:tab w:val="left" w:pos="360"/>
          <w:tab w:val="left" w:pos="720"/>
        </w:tabs>
        <w:spacing w:before="0" w:after="0"/>
        <w:ind w:right="284"/>
        <w:jc w:val="center"/>
        <w:rPr>
          <w:rFonts w:cs="Times New Roman"/>
          <w:b/>
          <w:bCs/>
        </w:rPr>
      </w:pPr>
    </w:p>
    <w:p w:rsidR="00000000" w:rsidRDefault="00591FDE">
      <w:pPr>
        <w:pStyle w:val="Normlnweb"/>
        <w:tabs>
          <w:tab w:val="left" w:pos="360"/>
          <w:tab w:val="left" w:pos="720"/>
        </w:tabs>
        <w:spacing w:before="0" w:after="0"/>
        <w:ind w:right="284"/>
        <w:jc w:val="center"/>
        <w:rPr>
          <w:rFonts w:cs="Times New Roman"/>
          <w:b/>
          <w:bCs/>
          <w:spacing w:val="20"/>
        </w:rPr>
      </w:pPr>
      <w:r>
        <w:rPr>
          <w:rFonts w:cs="Times New Roman"/>
          <w:b/>
          <w:bCs/>
        </w:rPr>
        <w:t>Čl. 3</w:t>
      </w:r>
    </w:p>
    <w:p w:rsidR="00000000" w:rsidRDefault="00591FDE">
      <w:pPr>
        <w:pStyle w:val="Normlnweb"/>
        <w:tabs>
          <w:tab w:val="left" w:pos="360"/>
          <w:tab w:val="left" w:pos="720"/>
        </w:tabs>
        <w:spacing w:before="0" w:after="0"/>
        <w:ind w:right="284"/>
        <w:jc w:val="center"/>
        <w:rPr>
          <w:rFonts w:cs="Times New Roman"/>
          <w:b/>
          <w:bCs/>
          <w:spacing w:val="20"/>
        </w:rPr>
      </w:pPr>
      <w:r>
        <w:rPr>
          <w:rFonts w:cs="Times New Roman"/>
          <w:b/>
          <w:bCs/>
          <w:spacing w:val="20"/>
        </w:rPr>
        <w:t xml:space="preserve">Účinnost </w:t>
      </w:r>
    </w:p>
    <w:p w:rsidR="00000000" w:rsidRDefault="00591FDE">
      <w:pPr>
        <w:pStyle w:val="Normlnweb"/>
        <w:tabs>
          <w:tab w:val="left" w:pos="360"/>
          <w:tab w:val="left" w:pos="720"/>
        </w:tabs>
        <w:spacing w:before="0" w:after="0"/>
        <w:ind w:right="284"/>
        <w:jc w:val="center"/>
        <w:rPr>
          <w:rFonts w:cs="Times New Roman"/>
          <w:b/>
          <w:bCs/>
          <w:spacing w:val="20"/>
        </w:rPr>
      </w:pPr>
    </w:p>
    <w:p w:rsidR="00000000" w:rsidRDefault="00591FDE">
      <w:pPr>
        <w:pStyle w:val="Normlnweb"/>
        <w:tabs>
          <w:tab w:val="left" w:pos="360"/>
          <w:tab w:val="left" w:pos="720"/>
        </w:tabs>
        <w:spacing w:before="0" w:after="0"/>
        <w:ind w:right="284"/>
        <w:rPr>
          <w:rFonts w:cs="Times New Roman"/>
        </w:rPr>
      </w:pPr>
      <w:r>
        <w:rPr>
          <w:rFonts w:cs="Times New Roman"/>
        </w:rPr>
        <w:t>Tato vyhláška nabývá účinnosti dnem 1. dubna 2017.</w:t>
      </w:r>
    </w:p>
    <w:p w:rsidR="00000000" w:rsidRDefault="00591FDE">
      <w:pPr>
        <w:pStyle w:val="Default"/>
        <w:rPr>
          <w:rFonts w:ascii="Times New Roman" w:hAnsi="Times New Roman" w:cs="Times New Roman"/>
        </w:rPr>
      </w:pPr>
    </w:p>
    <w:p w:rsidR="00000000" w:rsidRDefault="00591FDE"/>
    <w:p w:rsidR="00000000" w:rsidRDefault="00591FDE"/>
    <w:p w:rsidR="00000000" w:rsidRDefault="00591FDE"/>
    <w:p w:rsidR="00000000" w:rsidRDefault="00591FDE"/>
    <w:p w:rsidR="00000000" w:rsidRDefault="00591FDE">
      <w:r>
        <w:t xml:space="preserve">    ……………………………….</w:t>
      </w:r>
      <w:r>
        <w:tab/>
      </w:r>
      <w:r>
        <w:tab/>
      </w:r>
      <w:r>
        <w:tab/>
      </w:r>
      <w:r>
        <w:tab/>
        <w:t xml:space="preserve">      .…...………………………..</w:t>
      </w:r>
    </w:p>
    <w:p w:rsidR="00000000" w:rsidRDefault="00591FDE">
      <w:pPr>
        <w:tabs>
          <w:tab w:val="center" w:pos="1701"/>
          <w:tab w:val="center" w:pos="7371"/>
        </w:tabs>
      </w:pPr>
      <w:r>
        <w:tab/>
        <w:t xml:space="preserve">Miroslav Krčil, DiS. v. r. </w:t>
      </w:r>
      <w:r>
        <w:tab/>
        <w:t xml:space="preserve">Zdeněk Eis v. r. </w:t>
      </w:r>
      <w:bookmarkStart w:id="0" w:name="_GoBack"/>
      <w:bookmarkEnd w:id="0"/>
    </w:p>
    <w:p w:rsidR="00000000" w:rsidRDefault="00591FDE">
      <w:pPr>
        <w:tabs>
          <w:tab w:val="center" w:pos="1701"/>
          <w:tab w:val="center" w:pos="7371"/>
        </w:tabs>
      </w:pPr>
      <w:r>
        <w:tab/>
        <w:t xml:space="preserve">starosta </w:t>
      </w:r>
      <w:r>
        <w:tab/>
        <w:t xml:space="preserve">místostarosta </w:t>
      </w:r>
      <w:r>
        <w:tab/>
      </w:r>
    </w:p>
    <w:p w:rsidR="00000000" w:rsidRDefault="00591FDE"/>
    <w:p w:rsidR="00000000" w:rsidRDefault="00591FDE">
      <w:pPr>
        <w:rPr>
          <w:sz w:val="22"/>
          <w:szCs w:val="22"/>
        </w:rPr>
      </w:pPr>
    </w:p>
    <w:p w:rsidR="00000000" w:rsidRDefault="00591FDE">
      <w:pPr>
        <w:rPr>
          <w:sz w:val="22"/>
          <w:szCs w:val="22"/>
        </w:rPr>
      </w:pPr>
    </w:p>
    <w:p w:rsidR="00000000" w:rsidRDefault="00591FDE">
      <w:pPr>
        <w:rPr>
          <w:sz w:val="22"/>
          <w:szCs w:val="22"/>
        </w:rPr>
      </w:pPr>
    </w:p>
    <w:p w:rsidR="00000000" w:rsidRDefault="00591FDE">
      <w:pPr>
        <w:rPr>
          <w:sz w:val="22"/>
          <w:szCs w:val="22"/>
        </w:rPr>
      </w:pPr>
    </w:p>
    <w:p w:rsidR="00000000" w:rsidRDefault="00591FDE">
      <w:pPr>
        <w:rPr>
          <w:sz w:val="22"/>
          <w:szCs w:val="22"/>
        </w:rPr>
      </w:pPr>
    </w:p>
    <w:p w:rsidR="00000000" w:rsidRDefault="00591FDE">
      <w:pPr>
        <w:rPr>
          <w:sz w:val="22"/>
          <w:szCs w:val="22"/>
        </w:rPr>
      </w:pPr>
      <w:r>
        <w:rPr>
          <w:sz w:val="22"/>
          <w:szCs w:val="22"/>
        </w:rPr>
        <w:t>Vyvěšeno na</w:t>
      </w:r>
      <w:r>
        <w:rPr>
          <w:sz w:val="22"/>
          <w:szCs w:val="22"/>
        </w:rPr>
        <w:t xml:space="preserve"> úřední desce dne: 1</w:t>
      </w:r>
      <w:r>
        <w:rPr>
          <w:sz w:val="22"/>
          <w:szCs w:val="22"/>
        </w:rPr>
        <w:t>4</w:t>
      </w:r>
      <w:r>
        <w:rPr>
          <w:sz w:val="22"/>
          <w:szCs w:val="22"/>
        </w:rPr>
        <w:t>. března 2017</w:t>
      </w:r>
    </w:p>
    <w:p w:rsidR="00000000" w:rsidRDefault="00591FDE">
      <w:pPr>
        <w:rPr>
          <w:sz w:val="22"/>
          <w:szCs w:val="22"/>
        </w:rPr>
      </w:pPr>
      <w:r>
        <w:rPr>
          <w:sz w:val="22"/>
          <w:szCs w:val="22"/>
        </w:rPr>
        <w:t xml:space="preserve">Sejmuto z úřední desky dne: </w:t>
      </w:r>
    </w:p>
    <w:p w:rsidR="00000000" w:rsidRDefault="00591FDE">
      <w:r>
        <w:rPr>
          <w:sz w:val="22"/>
          <w:szCs w:val="22"/>
        </w:rPr>
        <w:t>Zveřejnění bylo shodně provedeno na elektronické úřední desce.</w:t>
      </w:r>
    </w:p>
    <w:sectPr w:rsidR="00000000">
      <w:footerReference w:type="default" r:id="rId8"/>
      <w:footerReference w:type="first" r:id="rId9"/>
      <w:pgSz w:w="11906" w:h="16838"/>
      <w:pgMar w:top="1077" w:right="1134" w:bottom="1167" w:left="1134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1FDE">
      <w:r>
        <w:separator/>
      </w:r>
    </w:p>
  </w:endnote>
  <w:endnote w:type="continuationSeparator" w:id="0">
    <w:p w:rsidR="00000000" w:rsidRDefault="0059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1FDE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67945" cy="166370"/>
              <wp:effectExtent l="635" t="1270" r="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6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91FD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5.35pt;height:13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" stroked="f">
              <v:textbox inset="0,0,0,0">
                <w:txbxContent>
                  <w:p w:rsidR="00000000" w:rsidRDefault="00591FD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1FD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1FDE">
      <w:r>
        <w:separator/>
      </w:r>
    </w:p>
  </w:footnote>
  <w:footnote w:type="continuationSeparator" w:id="0">
    <w:p w:rsidR="00000000" w:rsidRDefault="00591FDE">
      <w:r>
        <w:continuationSeparator/>
      </w:r>
    </w:p>
  </w:footnote>
  <w:footnote w:id="1">
    <w:p w:rsidR="00000000" w:rsidRDefault="00591FDE">
      <w:pPr>
        <w:pStyle w:val="Textpoznpodarou"/>
        <w:tabs>
          <w:tab w:val="left" w:pos="284"/>
        </w:tabs>
      </w:pPr>
      <w:r>
        <w:rPr>
          <w:rStyle w:val="Znakypropoznmkupodarou"/>
        </w:rPr>
        <w:footnoteRef/>
      </w:r>
      <w:r>
        <w:tab/>
        <w:t xml:space="preserve">  zákon č. 3/2002 Sb., o svobodě náboženského vyznání a postavení církví a náboženských společností a o změně </w:t>
      </w:r>
    </w:p>
    <w:p w:rsidR="00000000" w:rsidRDefault="00591FDE">
      <w:pPr>
        <w:pStyle w:val="Textpoznpodarou"/>
        <w:tabs>
          <w:tab w:val="left" w:pos="284"/>
        </w:tabs>
      </w:pPr>
      <w:r>
        <w:tab/>
        <w:t xml:space="preserve">   některých zá</w:t>
      </w:r>
      <w:r>
        <w:t>konů (zákon o církvích a náboženských společnostech), ve znění pozdějších předpisů</w:t>
      </w:r>
    </w:p>
  </w:footnote>
  <w:footnote w:id="2">
    <w:p w:rsidR="00000000" w:rsidRDefault="00591FDE">
      <w:pPr>
        <w:pStyle w:val="Textpoznpodarou"/>
        <w:tabs>
          <w:tab w:val="left" w:pos="284"/>
        </w:tabs>
      </w:pPr>
      <w:r>
        <w:rPr>
          <w:rStyle w:val="Znakypropoznmkupodarou"/>
        </w:rPr>
        <w:footnoteRef/>
      </w:r>
      <w:r>
        <w:tab/>
        <w:t xml:space="preserve"> zákon č. 117/2001 Sb., o veřejných sbírkách a o změně některých zákonů,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DE"/>
    <w:rsid w:val="0059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B3D64A7"/>
  <w15:chartTrackingRefBased/>
  <w15:docId w15:val="{6D227CD2-9C20-45A3-BF5E-8BA285F9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</w:rPr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2">
    <w:name w:val="Standardní písmo odstavce2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MUHlinsko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dc:description/>
  <cp:lastModifiedBy>Mgr. Nikola Ondráčková</cp:lastModifiedBy>
  <cp:revision>2</cp:revision>
  <cp:lastPrinted>2017-03-07T12:35:00Z</cp:lastPrinted>
  <dcterms:created xsi:type="dcterms:W3CDTF">2024-12-19T09:28:00Z</dcterms:created>
  <dcterms:modified xsi:type="dcterms:W3CDTF">2024-12-19T09:28:00Z</dcterms:modified>
</cp:coreProperties>
</file>