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76" w:lineRule="auto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VRHAVEČ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line="276" w:lineRule="auto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Vrhaveč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line="276" w:lineRule="auto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line="276" w:lineRule="auto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</w:t>
      </w:r>
      <w:r>
        <w:rPr>
          <w:rFonts w:ascii="Arial" w:hAnsi="Arial" w:cs="Arial"/>
          <w:b/>
        </w:rPr>
        <w:t xml:space="preserve"> obce Vrhaveč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line="276" w:lineRule="auto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ze psů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line="276" w:lineRule="auto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line="288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Vrhaveč</w:t>
      </w:r>
      <w:r>
        <w:rPr>
          <w:rFonts w:ascii="Arial" w:hAnsi="Arial" w:cs="Arial"/>
          <w:sz w:val="22"/>
          <w:szCs w:val="22"/>
        </w:rPr>
        <w:t xml:space="preserve"> se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svém zasedán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í dne 16.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12.2025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</w:t>
      </w:r>
      <w:r>
        <w:rPr>
          <w:rFonts w:ascii="Arial" w:hAnsi="Arial" w:cs="Arial"/>
          <w:sz w:val="22"/>
          <w:szCs w:val="22"/>
        </w:rPr>
        <w:t xml:space="preserve">eslo vydat na </w:t>
      </w:r>
      <w:r>
        <w:rPr>
          <w:rFonts w:ascii="Arial" w:hAnsi="Arial" w:cs="Arial"/>
          <w:sz w:val="22"/>
          <w:szCs w:val="22"/>
        </w:rPr>
        <w:t xml:space="preserve"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a v souladu s § 10 písm. d) a</w:t>
      </w:r>
      <w:r>
        <w:rPr>
          <w:rFonts w:ascii="Arial" w:hAnsi="Arial" w:cs="Arial"/>
          <w:sz w:val="22"/>
          <w:szCs w:val="22"/>
        </w:rPr>
        <w:t xml:space="preserve"> </w:t>
      </w:r>
      <w:r>
        <w:rPr>
          <w:rFonts w:ascii="Arial" w:hAnsi="Arial" w:cs="Arial"/>
          <w:sz w:val="22"/>
          <w:szCs w:val="22"/>
        </w:rPr>
        <w:t xml:space="preserve">§</w:t>
      </w:r>
      <w:r>
        <w:rPr>
          <w:rFonts w:ascii="Arial" w:hAnsi="Arial" w:cs="Arial"/>
          <w:sz w:val="22"/>
          <w:szCs w:val="22"/>
        </w:rPr>
        <w:t xml:space="preserve"> </w:t>
      </w:r>
      <w:r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7"/>
        <w:pBdr/>
        <w:spacing w:before="48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Čl. 1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58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Úvodní ustanovení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1"/>
        </w:numPr>
        <w:pBdr/>
        <w:spacing w:before="120" w:line="288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Vrhaveč </w:t>
      </w:r>
      <w:r>
        <w:rPr>
          <w:rFonts w:ascii="Arial" w:hAnsi="Arial" w:cs="Arial"/>
          <w:sz w:val="22"/>
          <w:szCs w:val="22"/>
        </w:rPr>
        <w:t xml:space="preserve">touto vyhláškou zavádí místní poplatek ze psů (dále jen „poplatek“).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1"/>
        </w:numPr>
        <w:pBdr/>
        <w:spacing w:before="120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Poplatkovým obdobím poplatku je kalendářní rok.</w:t>
      </w:r>
      <w:r>
        <w:rPr>
          <w:rStyle w:val="1056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1"/>
        </w:numPr>
        <w:pBdr/>
        <w:spacing w:before="120" w:line="288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právcem poplatku je obecní úřad Vrhaveč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  <w:vertAlign w:val="superscript"/>
        </w:rPr>
        <w:footnoteReference w:id="3"/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7"/>
        <w:pBdr/>
        <w:spacing w:before="48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Čl. 2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58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Poplatník a</w:t>
      </w:r>
      <w:r>
        <w:rPr>
          <w:rFonts w:ascii="Arial" w:hAnsi="Arial" w:cs="Arial"/>
        </w:rPr>
        <w:t xml:space="preserve"> předmět poplatku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5"/>
        </w:numPr>
        <w:pBdr/>
        <w:spacing w:before="120" w:line="288" w:lineRule="auto"/>
        <w:ind/>
        <w:jc w:val="both"/>
        <w:rPr/>
      </w:pPr>
      <w:r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 xml:space="preserve">České republiky</w:t>
      </w:r>
      <w:r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 xml:space="preserve">;</w:t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poplatek ze psů platí </w:t>
      </w:r>
      <w:r>
        <w:rPr>
          <w:rFonts w:ascii="Arial" w:hAnsi="Arial" w:cs="Arial"/>
          <w:sz w:val="22"/>
          <w:szCs w:val="22"/>
        </w:rPr>
        <w:t xml:space="preserve">poplatník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obci Vrhaveč</w:t>
      </w:r>
      <w:r>
        <w:rPr>
          <w:rFonts w:ascii="Arial" w:hAnsi="Arial" w:cs="Arial"/>
          <w:sz w:val="22"/>
          <w:szCs w:val="22"/>
        </w:rPr>
        <w:t xml:space="preserve"> příslušné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podle svého místa přihlášení nebo sídla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  <w:vertAlign w:val="superscript"/>
        </w:rPr>
        <w:footnoteReference w:id="4"/>
      </w:r>
      <w:r/>
    </w:p>
    <w:p>
      <w:pPr>
        <w:numPr>
          <w:ilvl w:val="0"/>
          <w:numId w:val="5"/>
        </w:numPr>
        <w:pBdr/>
        <w:spacing w:before="120" w:line="288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psů se platí ze psů starších 3 měsíců.</w:t>
      </w:r>
      <w:r>
        <w:rPr>
          <w:rFonts w:ascii="Arial" w:hAnsi="Arial" w:cs="Arial"/>
          <w:sz w:val="22"/>
          <w:szCs w:val="22"/>
          <w:vertAlign w:val="superscript"/>
        </w:rPr>
        <w:footnoteReference w:id="5"/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7"/>
        <w:pBdr/>
        <w:spacing w:before="48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Čl. 3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58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Ohlašovací povinnost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3"/>
        </w:numPr>
        <w:pBdr/>
        <w:spacing w:before="120" w:line="288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10</w:t>
      </w:r>
      <w:r>
        <w:rPr>
          <w:rFonts w:ascii="Arial" w:hAnsi="Arial" w:cs="Arial"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ode dne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 xml:space="preserve">3</w:t>
      </w:r>
      <w:r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>
        <w:rPr>
          <w:rFonts w:ascii="Arial" w:hAnsi="Arial" w:cs="Arial"/>
          <w:sz w:val="22"/>
          <w:szCs w:val="22"/>
        </w:rPr>
        <w:t xml:space="preserve">kdy nabyl psa</w:t>
      </w:r>
      <w:r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 xml:space="preserve">3</w:t>
      </w:r>
      <w:r>
        <w:rPr>
          <w:rFonts w:ascii="Arial" w:hAnsi="Arial" w:cs="Arial"/>
          <w:sz w:val="22"/>
          <w:szCs w:val="22"/>
        </w:rPr>
        <w:t xml:space="preserve"> měsíců</w:t>
      </w:r>
      <w:r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>
        <w:rPr>
          <w:rFonts w:ascii="Arial" w:hAnsi="Arial" w:cs="Arial"/>
          <w:sz w:val="22"/>
          <w:szCs w:val="22"/>
        </w:rPr>
        <w:t xml:space="preserve">údaje uváděné v ohlášení upravuje zákon</w:t>
      </w:r>
      <w:r>
        <w:rPr>
          <w:rFonts w:ascii="Arial" w:hAnsi="Arial" w:cs="Arial"/>
          <w:sz w:val="22"/>
          <w:szCs w:val="22"/>
        </w:rPr>
        <w:t xml:space="preserve">.</w:t>
      </w:r>
      <w:bookmarkEnd w:id="0"/>
      <w:r>
        <w:rPr>
          <w:rStyle w:val="1056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3"/>
        </w:numPr>
        <w:pBdr/>
        <w:spacing w:before="120" w:line="288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>
        <w:rPr>
          <w:rFonts w:ascii="Arial" w:hAnsi="Arial" w:cs="Arial"/>
          <w:sz w:val="22"/>
          <w:szCs w:val="22"/>
        </w:rPr>
        <w:t xml:space="preserve">poplatník</w:t>
      </w:r>
      <w:r>
        <w:rPr>
          <w:rFonts w:ascii="Arial" w:hAnsi="Arial" w:cs="Arial"/>
          <w:sz w:val="22"/>
          <w:szCs w:val="22"/>
        </w:rPr>
        <w:t xml:space="preserve">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 xml:space="preserve">ode dne, kdy nastala.</w:t>
      </w:r>
      <w:r>
        <w:rPr>
          <w:rStyle w:val="1056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7"/>
        <w:pBdr/>
        <w:spacing w:before="48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 xml:space="preserve">4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58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Sazba poplatku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6"/>
        </w:numPr>
        <w:pBdr/>
        <w:spacing w:before="120" w:line="288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 xml:space="preserve">kalendářní rok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činí: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numPr>
          <w:ilvl w:val="1"/>
          <w:numId w:val="6"/>
        </w:numPr>
        <w:pBdr/>
        <w:spacing w:before="60" w:line="288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 xml:space="preserve">jednoho</w:t>
      </w:r>
      <w:r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100,-</w:t>
      </w:r>
      <w:r>
        <w:rPr>
          <w:rFonts w:ascii="Arial" w:hAnsi="Arial" w:cs="Arial"/>
          <w:sz w:val="22"/>
          <w:szCs w:val="22"/>
        </w:rPr>
        <w:t xml:space="preserve"> Kč,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numPr>
          <w:ilvl w:val="1"/>
          <w:numId w:val="6"/>
        </w:numPr>
        <w:pBdr/>
        <w:spacing w:before="60" w:line="288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150,-</w:t>
      </w:r>
      <w:r>
        <w:rPr>
          <w:rFonts w:ascii="Arial" w:hAnsi="Arial" w:cs="Arial"/>
          <w:sz w:val="22"/>
          <w:szCs w:val="22"/>
        </w:rPr>
        <w:t xml:space="preserve"> Kč,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6"/>
        </w:numPr>
        <w:pBdr/>
        <w:spacing w:before="120" w:line="288" w:lineRule="auto"/>
        <w:ind/>
        <w:jc w:val="both"/>
        <w:rPr/>
      </w:pPr>
      <w:r>
        <w:rPr>
          <w:rFonts w:ascii="Arial" w:hAnsi="Arial" w:cs="Arial"/>
          <w:sz w:val="22"/>
          <w:szCs w:val="22"/>
        </w:rPr>
        <w:t xml:space="preserve">V případě trvání poplatkové povinnosti po dobu kratší než jeden rok se platí poplatek v poměrné výši, která odpovídá počtu i započatých kalendářních měsíců.</w:t>
      </w:r>
      <w:r>
        <w:rPr>
          <w:rStyle w:val="1056"/>
          <w:rFonts w:ascii="Arial" w:hAnsi="Arial" w:cs="Arial"/>
          <w:sz w:val="22"/>
          <w:szCs w:val="22"/>
        </w:rPr>
        <w:footnoteReference w:id="8"/>
      </w:r>
      <w:r/>
    </w:p>
    <w:p>
      <w:pPr>
        <w:pStyle w:val="1057"/>
        <w:pBdr/>
        <w:spacing w:before="48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Čl. 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58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8"/>
        </w:numPr>
        <w:pBdr/>
        <w:spacing w:before="120" w:line="288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>
        <w:rPr>
          <w:rFonts w:ascii="Arial" w:hAnsi="Arial" w:cs="Arial"/>
          <w:sz w:val="22"/>
          <w:szCs w:val="22"/>
        </w:rPr>
        <w:t xml:space="preserve">do 31.5.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8"/>
        </w:numPr>
        <w:pBdr/>
        <w:spacing w:before="120" w:line="288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 xml:space="preserve">po datu splatnosti uvedeném v </w:t>
      </w:r>
      <w:r>
        <w:rPr>
          <w:rFonts w:ascii="Arial" w:hAnsi="Arial" w:cs="Arial"/>
          <w:sz w:val="22"/>
          <w:szCs w:val="22"/>
        </w:rPr>
        <w:t xml:space="preserve">odstavci</w:t>
      </w:r>
      <w:r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 xml:space="preserve">ém poplatková povinnost vznikla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8"/>
        </w:numPr>
        <w:pBdr/>
        <w:spacing w:before="120" w:line="264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before="120" w:line="288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7"/>
        <w:pBdr/>
        <w:spacing w:before="48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Čl. 6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58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Osvobození a úlevy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4"/>
        </w:numPr>
        <w:pBdr/>
        <w:spacing w:before="120" w:line="288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>
        <w:rPr>
          <w:rFonts w:ascii="Arial" w:hAnsi="Arial" w:cs="Arial"/>
          <w:sz w:val="22"/>
          <w:szCs w:val="22"/>
        </w:rPr>
        <w:t xml:space="preserve">osoba, která je považována za závislou na pomoci jiné fyzické osoby podle zákona upravujícího sociální služby, osoba, která je držitelem průkazu ZTP nebo ZTP/P</w:t>
      </w:r>
      <w:r>
        <w:rPr>
          <w:rFonts w:ascii="Arial" w:hAnsi="Arial" w:cs="Arial"/>
          <w:sz w:val="22"/>
          <w:szCs w:val="22"/>
        </w:rPr>
        <w:t xml:space="preserve">, osoba pr</w:t>
      </w:r>
      <w:r>
        <w:rPr>
          <w:rFonts w:ascii="Arial" w:hAnsi="Arial" w:cs="Arial"/>
          <w:sz w:val="22"/>
          <w:szCs w:val="22"/>
        </w:rPr>
        <w:t xml:space="preserve">ovádějící výcvik psů určených k </w:t>
      </w:r>
      <w:r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 xml:space="preserve">útulek pro zvířata</w:t>
      </w:r>
      <w:r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1056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4"/>
        </w:numPr>
        <w:pBdr/>
        <w:spacing w:before="120" w:line="288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touto vyhláškou nebo zákonem, nárok na osvobození nebo úlevu zaniká.</w:t>
      </w:r>
      <w:r>
        <w:rPr>
          <w:rStyle w:val="1056"/>
          <w:rFonts w:ascii="Arial" w:hAnsi="Arial" w:cs="Arial"/>
          <w:sz w:val="22"/>
          <w:szCs w:val="22"/>
        </w:rPr>
        <w:footnoteReference w:id="10"/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7"/>
        <w:pBdr/>
        <w:spacing w:before="48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 xml:space="preserve">7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58"/>
        <w:pBdr/>
        <w:tabs>
          <w:tab w:val="left" w:leader="none" w:pos="3015"/>
          <w:tab w:val="center" w:leader="none" w:pos="4536"/>
        </w:tabs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Přechodné a z</w:t>
      </w:r>
      <w:r>
        <w:rPr>
          <w:rFonts w:ascii="Arial" w:hAnsi="Arial" w:cs="Arial"/>
        </w:rPr>
        <w:t xml:space="preserve">rušovací ustanovení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13"/>
        </w:numPr>
        <w:pBdr/>
        <w:spacing w:before="120" w:line="288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Poplatkové povinnosti vzniklé před nabytím účinnosti této vyhlášky se posuzují podle dosavadních právních předpisů.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13"/>
        </w:numPr>
        <w:pBdr/>
        <w:spacing w:before="120" w:line="288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yhláška č. 1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/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2020 </w:t>
      </w:r>
      <w:r>
        <w:rPr>
          <w:rFonts w:ascii="Arial" w:hAnsi="Arial" w:eastAsia="Arial" w:cs="Arial"/>
          <w:i w:val="0"/>
          <w:iCs w:val="0"/>
          <w:color w:val="000000"/>
          <w:sz w:val="22"/>
        </w:rPr>
        <w:t xml:space="preserve">o mís</w:t>
      </w:r>
      <w:r>
        <w:rPr>
          <w:rFonts w:ascii="Arial" w:hAnsi="Arial" w:eastAsia="Arial" w:cs="Arial"/>
          <w:color w:val="000000"/>
          <w:sz w:val="22"/>
        </w:rPr>
        <w:t xml:space="preserve">tním poplatku ze psů z</w:t>
      </w:r>
      <w:r>
        <w:rPr>
          <w:rFonts w:ascii="Arial" w:hAnsi="Arial" w:eastAsia="Arial" w:cs="Arial"/>
          <w:i w:val="0"/>
          <w:iCs w:val="0"/>
          <w:color w:val="000000"/>
          <w:sz w:val="22"/>
        </w:rPr>
        <w:t xml:space="preserve">e dne</w:t>
      </w:r>
      <w:r>
        <w:rPr>
          <w:rFonts w:ascii="Arial" w:hAnsi="Arial" w:eastAsia="Arial" w:cs="Arial"/>
          <w:i w:val="0"/>
          <w:iCs w:val="0"/>
          <w:color w:val="000000"/>
          <w:sz w:val="22"/>
        </w:rPr>
        <w:t xml:space="preserve"> 1.8.2020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before="120" w:line="288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7"/>
        <w:pBdr/>
        <w:spacing w:before="480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 xml:space="preserve">8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58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Účinnost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 xml:space="preserve">dne</w:t>
      </w:r>
      <w:r>
        <w:rPr>
          <w:rFonts w:ascii="Arial" w:hAnsi="Arial" w:cs="Arial"/>
          <w:sz w:val="22"/>
          <w:szCs w:val="22"/>
        </w:rPr>
        <w:t xml:space="preserve">m</w:t>
      </w:r>
      <w:r>
        <w:rPr>
          <w:rFonts w:ascii="Arial" w:hAnsi="Arial" w:cs="Arial"/>
          <w:sz w:val="22"/>
          <w:szCs w:val="22"/>
        </w:rPr>
        <w:t xml:space="preserve"> 1.1.2026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8"/>
        <w:pBdr/>
        <w:spacing/>
        <w:ind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b w:val="0"/>
          <w:bCs w:val="0"/>
          <w:i/>
          <w:color w:val="1a4bd6"/>
          <w:szCs w:val="24"/>
        </w:rPr>
      </w:r>
      <w:r>
        <w:rPr>
          <w:rFonts w:ascii="Arial" w:hAnsi="Arial" w:cs="Arial"/>
          <w:b w:val="0"/>
          <w:bCs w:val="0"/>
          <w:i/>
          <w:color w:val="1a4bd6"/>
          <w:szCs w:val="24"/>
        </w:rPr>
      </w:r>
      <w:r>
        <w:rPr>
          <w:rFonts w:ascii="Arial" w:hAnsi="Arial" w:cs="Arial"/>
          <w:b w:val="0"/>
          <w:bCs w:val="0"/>
          <w:i/>
          <w:color w:val="1a4bd6"/>
          <w:szCs w:val="24"/>
        </w:rPr>
      </w:r>
    </w:p>
    <w:p>
      <w:pPr>
        <w:pBdr/>
        <w:spacing/>
        <w:ind/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</w:rPr>
      </w:r>
      <w:r>
        <w:rPr>
          <w:rFonts w:ascii="Arial" w:hAnsi="Arial" w:cs="Arial"/>
          <w:i/>
          <w:color w:val="ed7d31"/>
          <w:sz w:val="20"/>
          <w:szCs w:val="20"/>
        </w:rPr>
      </w:r>
      <w:r>
        <w:rPr>
          <w:rFonts w:ascii="Arial" w:hAnsi="Arial" w:cs="Arial"/>
          <w:i/>
          <w:color w:val="ed7d31"/>
          <w:sz w:val="20"/>
          <w:szCs w:val="20"/>
        </w:rPr>
      </w:r>
    </w:p>
    <w:p>
      <w:pPr>
        <w:pBdr/>
        <w:spacing/>
        <w:ind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color w:val="ed7d31"/>
          <w:sz w:val="22"/>
          <w:szCs w:val="22"/>
        </w:rPr>
      </w:r>
      <w:r>
        <w:rPr>
          <w:rFonts w:ascii="Arial" w:hAnsi="Arial" w:cs="Arial"/>
          <w:color w:val="ed7d31"/>
          <w:sz w:val="22"/>
          <w:szCs w:val="22"/>
        </w:rPr>
      </w:r>
      <w:r>
        <w:rPr>
          <w:rFonts w:ascii="Arial" w:hAnsi="Arial" w:cs="Arial"/>
          <w:color w:val="ed7d31"/>
          <w:sz w:val="22"/>
          <w:szCs w:val="22"/>
        </w:rPr>
      </w:r>
    </w:p>
    <w:p>
      <w:pPr>
        <w:pBdr/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2"/>
        <w:pBdr/>
        <w:tabs>
          <w:tab w:val="left" w:leader="none" w:pos="1440"/>
          <w:tab w:val="left" w:leader="none" w:pos="7020"/>
        </w:tabs>
        <w:spacing w:after="0" w:line="288" w:lineRule="auto"/>
        <w:ind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</w:r>
    </w:p>
    <w:p>
      <w:pPr>
        <w:pStyle w:val="1052"/>
        <w:pBdr/>
        <w:tabs>
          <w:tab w:val="left" w:leader="none" w:pos="720"/>
          <w:tab w:val="left" w:leader="none" w:pos="6120"/>
        </w:tabs>
        <w:spacing w:after="0" w:line="288" w:lineRule="auto"/>
        <w:ind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</w:r>
    </w:p>
    <w:p>
      <w:pPr>
        <w:pStyle w:val="1052"/>
        <w:pBdr/>
        <w:tabs>
          <w:tab w:val="left" w:leader="none" w:pos="1080"/>
          <w:tab w:val="left" w:leader="none" w:pos="6660"/>
        </w:tabs>
        <w:spacing w:after="0" w:line="288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Rostislav Doležal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Ing. David Janda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2"/>
        <w:pBdr/>
        <w:tabs>
          <w:tab w:val="left" w:leader="none" w:pos="1080"/>
          <w:tab w:val="left" w:leader="none" w:pos="7020"/>
        </w:tabs>
        <w:spacing w:after="0" w:line="288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>
        <w:rPr>
          <w:rFonts w:ascii="Arial" w:hAnsi="Arial" w:cs="Arial"/>
          <w:sz w:val="22"/>
          <w:szCs w:val="22"/>
        </w:rPr>
        <w:t xml:space="preserve"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místo</w:t>
      </w:r>
      <w:r>
        <w:rPr>
          <w:rFonts w:ascii="Arial" w:hAnsi="Arial" w:cs="Arial"/>
          <w:sz w:val="22"/>
          <w:szCs w:val="22"/>
        </w:rPr>
        <w:t xml:space="preserve">starosta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2"/>
        <w:pBdr/>
        <w:tabs>
          <w:tab w:val="left" w:leader="none" w:pos="1080"/>
          <w:tab w:val="left" w:leader="none" w:pos="7020"/>
        </w:tabs>
        <w:spacing w:after="0" w:line="288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052"/>
        <w:pBdr/>
        <w:tabs>
          <w:tab w:val="left" w:leader="none" w:pos="1080"/>
          <w:tab w:val="left" w:leader="none" w:pos="7020"/>
        </w:tabs>
        <w:spacing w:line="288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footerReference w:type="default" r:id="rId9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5"/>
      <w:pBdr/>
      <w:spacing/>
      <w:ind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PAGE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7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</w:r>
    <w:r>
      <w:rPr>
        <w:rFonts w:ascii="Arial" w:hAnsi="Arial" w:cs="Arial"/>
      </w:rPr>
    </w:r>
  </w:p>
  <w:p>
    <w:pPr>
      <w:pStyle w:val="10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1054"/>
        <w:pBdr/>
        <w:spacing/>
        <w:ind/>
        <w:jc w:val="both"/>
        <w:rPr>
          <w:sz w:val="18"/>
          <w:szCs w:val="18"/>
        </w:rPr>
      </w:pPr>
      <w:r>
        <w:rPr>
          <w:rStyle w:val="1056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§ 2 odst. 5 zákona o místních poplatcích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3">
    <w:p>
      <w:pPr>
        <w:pStyle w:val="1054"/>
        <w:pBdr/>
        <w:spacing/>
        <w:ind/>
        <w:jc w:val="both"/>
        <w:rPr>
          <w:rFonts w:ascii="Arial" w:hAnsi="Arial" w:cs="Arial"/>
          <w:sz w:val="18"/>
          <w:szCs w:val="18"/>
        </w:rPr>
      </w:pPr>
      <w:r>
        <w:rPr>
          <w:rStyle w:val="1056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 xml:space="preserve">5</w:t>
      </w:r>
      <w:r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 xml:space="preserve">1</w:t>
      </w:r>
      <w:r>
        <w:rPr>
          <w:rFonts w:ascii="Arial" w:hAnsi="Arial" w:cs="Arial"/>
          <w:sz w:val="18"/>
          <w:szCs w:val="18"/>
        </w:rPr>
        <w:t xml:space="preserve"> zákona </w:t>
      </w:r>
      <w:r>
        <w:rPr>
          <w:rFonts w:ascii="Arial" w:hAnsi="Arial" w:cs="Arial"/>
          <w:sz w:val="18"/>
          <w:szCs w:val="18"/>
        </w:rPr>
        <w:t xml:space="preserve">o místních poplatcích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</w:footnote>
  <w:footnote w:id="4">
    <w:p>
      <w:pPr>
        <w:pStyle w:val="1054"/>
        <w:pBdr/>
        <w:spacing/>
        <w:ind/>
        <w:jc w:val="both"/>
        <w:rPr>
          <w:rFonts w:ascii="Arial" w:hAnsi="Arial" w:cs="Arial"/>
          <w:sz w:val="18"/>
          <w:szCs w:val="18"/>
        </w:rPr>
      </w:pPr>
      <w:r>
        <w:rPr>
          <w:rStyle w:val="1056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1 </w:t>
      </w:r>
      <w:r>
        <w:rPr>
          <w:rFonts w:ascii="Arial" w:hAnsi="Arial" w:cs="Arial"/>
          <w:sz w:val="18"/>
          <w:szCs w:val="18"/>
        </w:rPr>
        <w:t xml:space="preserve">a odst. 4 </w:t>
      </w:r>
      <w:r>
        <w:rPr>
          <w:rFonts w:ascii="Arial" w:hAnsi="Arial" w:cs="Arial"/>
          <w:sz w:val="18"/>
          <w:szCs w:val="18"/>
        </w:rPr>
        <w:t xml:space="preserve">zákona o místních poplatcích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</w:footnote>
  <w:footnote w:id="5">
    <w:p>
      <w:pPr>
        <w:pStyle w:val="1054"/>
        <w:pBdr/>
        <w:spacing/>
        <w:ind/>
        <w:jc w:val="both"/>
        <w:rPr>
          <w:rFonts w:ascii="Arial" w:hAnsi="Arial" w:cs="Arial"/>
          <w:sz w:val="18"/>
          <w:szCs w:val="18"/>
        </w:rPr>
      </w:pPr>
      <w:r>
        <w:rPr>
          <w:rStyle w:val="1056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2 zákona o místních poplatcích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</w:footnote>
  <w:footnote w:id="6">
    <w:p>
      <w:pPr>
        <w:pStyle w:val="1054"/>
        <w:pBdr/>
        <w:spacing/>
        <w:ind/>
        <w:jc w:val="both"/>
        <w:rPr>
          <w:rFonts w:ascii="Arial" w:hAnsi="Arial" w:cs="Arial"/>
          <w:sz w:val="18"/>
          <w:szCs w:val="18"/>
        </w:rPr>
      </w:pPr>
      <w:r>
        <w:rPr>
          <w:rStyle w:val="1056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§ 14a odst. 1 a 2 zákona o místních poplatcích; v ohlášení poplatník uvede zejména své identifikační údaje a skutečnosti rozhodné pro stanovení poplatku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</w:footnote>
  <w:footnote w:id="7">
    <w:p>
      <w:pPr>
        <w:pStyle w:val="1054"/>
        <w:pBdr/>
        <w:spacing/>
        <w:ind/>
        <w:jc w:val="both"/>
        <w:rPr>
          <w:rFonts w:ascii="Arial" w:hAnsi="Arial" w:cs="Arial"/>
          <w:sz w:val="18"/>
          <w:szCs w:val="18"/>
        </w:rPr>
      </w:pPr>
      <w:r>
        <w:rPr>
          <w:rStyle w:val="1056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</w:footnote>
  <w:footnote w:id="8">
    <w:p>
      <w:pPr>
        <w:pStyle w:val="1054"/>
        <w:pBdr/>
        <w:spacing/>
        <w:ind/>
        <w:jc w:val="both"/>
        <w:rPr/>
      </w:pPr>
      <w:r>
        <w:rPr>
          <w:rStyle w:val="1056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§ 2 odst. 3 zákona o místních poplatcích</w:t>
      </w:r>
      <w:r/>
    </w:p>
  </w:footnote>
  <w:footnote w:id="9">
    <w:p>
      <w:pPr>
        <w:pStyle w:val="1054"/>
        <w:pBdr/>
        <w:spacing/>
        <w:ind/>
        <w:rPr>
          <w:rFonts w:ascii="Arial" w:hAnsi="Arial" w:cs="Arial"/>
          <w:sz w:val="18"/>
          <w:szCs w:val="18"/>
        </w:rPr>
      </w:pPr>
      <w:r>
        <w:rPr>
          <w:rStyle w:val="1056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§ 2 odst. 2 zákona o místních poplatcích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</w:footnote>
  <w:footnote w:id="10">
    <w:p>
      <w:pPr>
        <w:pStyle w:val="1054"/>
        <w:pBdr/>
        <w:spacing/>
        <w:ind/>
        <w:rPr>
          <w:rFonts w:ascii="Arial" w:hAnsi="Arial" w:cs="Arial"/>
          <w:sz w:val="18"/>
          <w:szCs w:val="18"/>
        </w:rPr>
      </w:pPr>
      <w:r>
        <w:rPr>
          <w:rStyle w:val="1056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(%1)"/>
      <w:numFmt w:val="decimal"/>
      <w:pPr>
        <w:pBdr/>
        <w:tabs>
          <w:tab w:val="num" w:leader="none" w:pos="567"/>
        </w:tabs>
        <w:spacing/>
        <w:ind w:hanging="567" w:left="567"/>
      </w:pPr>
      <w:rPr>
        <w:rFonts w:hint="default"/>
        <w:b w:val="0"/>
        <w:i w:val="0"/>
        <w:strike w:val="0"/>
        <w:vertAlign w:val="baseli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1021"/>
        </w:tabs>
        <w:spacing/>
        <w:ind w:hanging="454" w:left="1021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800"/>
        </w:tabs>
        <w:spacing/>
        <w:ind w:hanging="360" w:left="180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2160"/>
        </w:tabs>
        <w:spacing/>
        <w:ind w:hanging="360" w:left="216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520"/>
        </w:tabs>
        <w:spacing/>
        <w:ind w:hanging="360" w:left="25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3240"/>
        </w:tabs>
        <w:spacing/>
        <w:ind w:hanging="360" w:left="324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600"/>
        </w:tabs>
        <w:spacing/>
        <w:ind w:hanging="360" w:left="3600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(%1)"/>
      <w:numFmt w:val="decimal"/>
      <w:pPr>
        <w:pBdr/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425"/>
        </w:tabs>
        <w:spacing/>
        <w:ind w:hanging="425" w:left="425"/>
      </w:pPr>
      <w:pStyle w:val="1059"/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(%1)"/>
      <w:numFmt w:val="decimal"/>
      <w:pPr>
        <w:pBdr/>
        <w:tabs>
          <w:tab w:val="num" w:leader="none" w:pos="567"/>
        </w:tabs>
        <w:spacing/>
        <w:ind w:hanging="567" w:left="567"/>
      </w:pPr>
      <w:rPr>
        <w:rFonts w:hint="default"/>
        <w:b w:val="0"/>
        <w:i w:val="0"/>
        <w:strike w:val="0"/>
        <w:vertAlign w:val="baseli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1021"/>
        </w:tabs>
        <w:spacing/>
        <w:ind w:hanging="454" w:left="1021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800"/>
        </w:tabs>
        <w:spacing/>
        <w:ind w:hanging="360" w:left="180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2160"/>
        </w:tabs>
        <w:spacing/>
        <w:ind w:hanging="360" w:left="216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520"/>
        </w:tabs>
        <w:spacing/>
        <w:ind w:hanging="360" w:left="25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3240"/>
        </w:tabs>
        <w:spacing/>
        <w:ind w:hanging="360" w:left="324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600"/>
        </w:tabs>
        <w:spacing/>
        <w:ind w:hanging="360" w:left="3600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(%1)"/>
      <w:numFmt w:val="decimal"/>
      <w:pPr>
        <w:pBdr/>
        <w:tabs>
          <w:tab w:val="num" w:leader="none" w:pos="567"/>
        </w:tabs>
        <w:spacing/>
        <w:ind w:hanging="567" w:left="567"/>
      </w:pPr>
      <w:rPr>
        <w:rFonts w:hint="default"/>
        <w:b w:val="0"/>
        <w:i w:val="0"/>
        <w:strike w:val="0"/>
        <w:vertAlign w:val="baseli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1021"/>
        </w:tabs>
        <w:spacing/>
        <w:ind w:hanging="454" w:left="1021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800"/>
        </w:tabs>
        <w:spacing/>
        <w:ind w:hanging="360" w:left="180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2160"/>
        </w:tabs>
        <w:spacing/>
        <w:ind w:hanging="360" w:left="216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520"/>
        </w:tabs>
        <w:spacing/>
        <w:ind w:hanging="360" w:left="25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3240"/>
        </w:tabs>
        <w:spacing/>
        <w:ind w:hanging="360" w:left="324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600"/>
        </w:tabs>
        <w:spacing/>
        <w:ind w:hanging="360" w:left="3600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(%1)"/>
      <w:numFmt w:val="decimal"/>
      <w:pPr>
        <w:pBdr/>
        <w:tabs>
          <w:tab w:val="num" w:leader="none" w:pos="567"/>
        </w:tabs>
        <w:spacing/>
        <w:ind w:hanging="567" w:left="567"/>
      </w:pPr>
      <w:rPr>
        <w:rFonts w:hint="default" w:ascii="Arial" w:hAnsi="Arial" w:cs="Arial"/>
        <w:b w:val="0"/>
        <w:i w:val="0"/>
        <w:strike w:val="0"/>
        <w:sz w:val="22"/>
        <w:szCs w:val="22"/>
        <w:vertAlign w:val="baseli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1021"/>
        </w:tabs>
        <w:spacing/>
        <w:ind w:hanging="454" w:left="1021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800"/>
        </w:tabs>
        <w:spacing/>
        <w:ind w:hanging="360" w:left="180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2160"/>
        </w:tabs>
        <w:spacing/>
        <w:ind w:hanging="360" w:left="216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520"/>
        </w:tabs>
        <w:spacing/>
        <w:ind w:hanging="360" w:left="25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3240"/>
        </w:tabs>
        <w:spacing/>
        <w:ind w:hanging="360" w:left="324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600"/>
        </w:tabs>
        <w:spacing/>
        <w:ind w:hanging="360" w:left="3600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(%1)"/>
      <w:numFmt w:val="decimal"/>
      <w:pPr>
        <w:pBdr/>
        <w:tabs>
          <w:tab w:val="num" w:leader="none" w:pos="567"/>
        </w:tabs>
        <w:spacing/>
        <w:ind w:hanging="567" w:left="567"/>
      </w:pPr>
      <w:rPr>
        <w:rFonts w:hint="default"/>
        <w:b w:val="0"/>
        <w:i w:val="0"/>
        <w:strike w:val="0"/>
        <w:vertAlign w:val="baseli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1021"/>
        </w:tabs>
        <w:spacing/>
        <w:ind w:hanging="454" w:left="1021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800"/>
        </w:tabs>
        <w:spacing/>
        <w:ind w:hanging="360" w:left="180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2160"/>
        </w:tabs>
        <w:spacing/>
        <w:ind w:hanging="360" w:left="216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520"/>
        </w:tabs>
        <w:spacing/>
        <w:ind w:hanging="360" w:left="25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3240"/>
        </w:tabs>
        <w:spacing/>
        <w:ind w:hanging="360" w:left="324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600"/>
        </w:tabs>
        <w:spacing/>
        <w:ind w:hanging="360" w:left="3600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(%1)"/>
      <w:numFmt w:val="decimal"/>
      <w:pPr>
        <w:pBdr/>
        <w:tabs>
          <w:tab w:val="num" w:leader="none" w:pos="567"/>
        </w:tabs>
        <w:spacing/>
        <w:ind w:hanging="567" w:left="567"/>
      </w:pPr>
      <w:rPr>
        <w:b w:val="0"/>
        <w:i w:val="0"/>
        <w:strike w:val="0"/>
        <w:u w:val="none"/>
        <w:vertAlign w:val="baseli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1021"/>
        </w:tabs>
        <w:spacing/>
        <w:ind w:hanging="454" w:left="1021"/>
      </w:pPr>
      <w:rPr/>
      <w:start w:val="1"/>
      <w:suff w:val="tab"/>
    </w:lvl>
    <w:lvl w:ilvl="2">
      <w:isLgl w:val="false"/>
      <w:lvlJc w:val="left"/>
      <w:lvlText w:val="%3)"/>
      <w:numFmt w:val="lowerRoman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8">
    <w:lvl w:ilvl="0">
      <w:isLgl w:val="false"/>
      <w:lvlJc w:val="left"/>
      <w:lvlText w:val="(%1)"/>
      <w:numFmt w:val="decimal"/>
      <w:pPr>
        <w:pBdr/>
        <w:tabs>
          <w:tab w:val="num" w:leader="none" w:pos="567"/>
        </w:tabs>
        <w:spacing/>
        <w:ind w:hanging="567" w:left="567"/>
      </w:pPr>
      <w:rPr>
        <w:rFonts w:hint="default"/>
        <w:b w:val="0"/>
        <w:i w:val="0"/>
        <w:strike w:val="0"/>
        <w:vertAlign w:val="baseli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1021"/>
        </w:tabs>
        <w:spacing/>
        <w:ind w:hanging="454" w:left="1021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800"/>
        </w:tabs>
        <w:spacing/>
        <w:ind w:hanging="360" w:left="180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2160"/>
        </w:tabs>
        <w:spacing/>
        <w:ind w:hanging="360" w:left="216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520"/>
        </w:tabs>
        <w:spacing/>
        <w:ind w:hanging="360" w:left="25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3240"/>
        </w:tabs>
        <w:spacing/>
        <w:ind w:hanging="360" w:left="324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600"/>
        </w:tabs>
        <w:spacing/>
        <w:ind w:hanging="360" w:left="3600"/>
      </w:pPr>
      <w:rPr>
        <w:rFonts w:hint="default"/>
      </w:rPr>
      <w:start w:val="1"/>
      <w:suff w:val="tab"/>
    </w:lvl>
  </w:abstractNum>
  <w:abstractNum w:abstractNumId="9">
    <w:lvl w:ilvl="0">
      <w:isLgl w:val="false"/>
      <w:lvlJc w:val="left"/>
      <w:lvlText w:val="(%1)"/>
      <w:numFmt w:val="decimal"/>
      <w:pPr>
        <w:pBdr/>
        <w:tabs>
          <w:tab w:val="num" w:leader="none" w:pos="567"/>
        </w:tabs>
        <w:spacing/>
        <w:ind w:hanging="567" w:left="567"/>
      </w:pPr>
      <w:rPr>
        <w:rFonts w:hint="default"/>
        <w:b w:val="0"/>
        <w:i w:val="0"/>
        <w:strike w:val="0"/>
        <w:vertAlign w:val="baseli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1021"/>
        </w:tabs>
        <w:spacing/>
        <w:ind w:hanging="454" w:left="1021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800"/>
        </w:tabs>
        <w:spacing/>
        <w:ind w:hanging="360" w:left="180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2160"/>
        </w:tabs>
        <w:spacing/>
        <w:ind w:hanging="360" w:left="216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520"/>
        </w:tabs>
        <w:spacing/>
        <w:ind w:hanging="360" w:left="25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3240"/>
        </w:tabs>
        <w:spacing/>
        <w:ind w:hanging="360" w:left="324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600"/>
        </w:tabs>
        <w:spacing/>
        <w:ind w:hanging="360" w:left="3600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(%1)"/>
      <w:numFmt w:val="decimal"/>
      <w:pPr>
        <w:pBdr/>
        <w:tabs>
          <w:tab w:val="num" w:leader="none" w:pos="567"/>
        </w:tabs>
        <w:spacing/>
        <w:ind w:hanging="567" w:left="567"/>
      </w:pPr>
      <w:rPr>
        <w:rFonts w:hint="default"/>
        <w:b w:val="0"/>
        <w:i w:val="0"/>
        <w:strike w:val="0"/>
        <w:vertAlign w:val="baseli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1021"/>
        </w:tabs>
        <w:spacing/>
        <w:ind w:hanging="454" w:left="1021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800"/>
        </w:tabs>
        <w:spacing/>
        <w:ind w:hanging="360" w:left="180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2160"/>
        </w:tabs>
        <w:spacing/>
        <w:ind w:hanging="360" w:left="216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520"/>
        </w:tabs>
        <w:spacing/>
        <w:ind w:hanging="360" w:left="25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3240"/>
        </w:tabs>
        <w:spacing/>
        <w:ind w:hanging="360" w:left="324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600"/>
        </w:tabs>
        <w:spacing/>
        <w:ind w:hanging="360" w:left="3600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(%1)"/>
      <w:numFmt w:val="decimal"/>
      <w:pPr>
        <w:pBdr/>
        <w:tabs>
          <w:tab w:val="num" w:leader="none" w:pos="567"/>
        </w:tabs>
        <w:spacing/>
        <w:ind w:hanging="567" w:left="567"/>
      </w:pPr>
      <w:rPr>
        <w:rFonts w:hint="default"/>
        <w:b w:val="0"/>
        <w:i w:val="0"/>
        <w:strike w:val="0"/>
        <w:vertAlign w:val="baseli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1021"/>
        </w:tabs>
        <w:spacing/>
        <w:ind w:hanging="454" w:left="1021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800"/>
        </w:tabs>
        <w:spacing/>
        <w:ind w:hanging="360" w:left="180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2160"/>
        </w:tabs>
        <w:spacing/>
        <w:ind w:hanging="360" w:left="216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520"/>
        </w:tabs>
        <w:spacing/>
        <w:ind w:hanging="360" w:left="25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3240"/>
        </w:tabs>
        <w:spacing/>
        <w:ind w:hanging="360" w:left="324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600"/>
        </w:tabs>
        <w:spacing/>
        <w:ind w:hanging="360" w:left="3600"/>
      </w:pPr>
      <w:rPr>
        <w:rFonts w:hint="default"/>
      </w:rPr>
      <w:start w:val="1"/>
      <w:suff w:val="tab"/>
    </w:lvl>
  </w:abstractNum>
  <w:abstractNum w:abstractNumId="12">
    <w:lvl w:ilvl="0">
      <w:isLgl w:val="false"/>
      <w:lvlJc w:val="left"/>
      <w:lvlText w:val="(%1)"/>
      <w:numFmt w:val="decimal"/>
      <w:pPr>
        <w:pBdr/>
        <w:tabs>
          <w:tab w:val="num" w:leader="none" w:pos="567"/>
        </w:tabs>
        <w:spacing/>
        <w:ind w:hanging="567" w:left="567"/>
      </w:pPr>
      <w:rPr>
        <w:rFonts w:hint="default" w:ascii="Arial" w:hAnsi="Arial" w:cs="Arial"/>
        <w:b w:val="0"/>
        <w:i w:val="0"/>
        <w:strike w:val="0"/>
        <w:vertAlign w:val="baseli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1021"/>
        </w:tabs>
        <w:spacing/>
        <w:ind w:hanging="454" w:left="1021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800"/>
        </w:tabs>
        <w:spacing/>
        <w:ind w:hanging="360" w:left="180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2160"/>
        </w:tabs>
        <w:spacing/>
        <w:ind w:hanging="360" w:left="216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520"/>
        </w:tabs>
        <w:spacing/>
        <w:ind w:hanging="360" w:left="25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3240"/>
        </w:tabs>
        <w:spacing/>
        <w:ind w:hanging="360" w:left="324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600"/>
        </w:tabs>
        <w:spacing/>
        <w:ind w:hanging="360" w:left="3600"/>
      </w:pPr>
      <w:rPr>
        <w:rFonts w:hint="default"/>
      </w:rPr>
      <w:start w:val="1"/>
      <w:suff w:val="tab"/>
    </w:lvl>
  </w:abstractNum>
  <w:abstractNum w:abstractNumId="13">
    <w:lvl w:ilvl="0">
      <w:isLgl w:val="false"/>
      <w:lvlJc w:val="left"/>
      <w:lvlText w:val="(%1)"/>
      <w:numFmt w:val="decimal"/>
      <w:pPr>
        <w:pBdr/>
        <w:tabs>
          <w:tab w:val="num" w:leader="none" w:pos="567"/>
        </w:tabs>
        <w:spacing/>
        <w:ind w:hanging="567" w:left="567"/>
      </w:pPr>
      <w:rPr>
        <w:rFonts w:hint="default" w:ascii="Arial" w:hAnsi="Arial" w:cs="Arial"/>
        <w:b w:val="0"/>
        <w:i w:val="0"/>
        <w:strike w:val="0"/>
        <w:sz w:val="22"/>
        <w:szCs w:val="22"/>
        <w:vertAlign w:val="baseli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1021"/>
        </w:tabs>
        <w:spacing/>
        <w:ind w:hanging="454" w:left="1021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800"/>
        </w:tabs>
        <w:spacing/>
        <w:ind w:hanging="360" w:left="180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2160"/>
        </w:tabs>
        <w:spacing/>
        <w:ind w:hanging="360" w:left="216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520"/>
        </w:tabs>
        <w:spacing/>
        <w:ind w:hanging="360" w:left="25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3240"/>
        </w:tabs>
        <w:spacing/>
        <w:ind w:hanging="360" w:left="324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600"/>
        </w:tabs>
        <w:spacing/>
        <w:ind w:hanging="360" w:left="3600"/>
      </w:pPr>
      <w:rPr>
        <w:rFonts w:hint="default"/>
      </w:rPr>
      <w:start w:val="1"/>
      <w:suff w:val="tab"/>
    </w:lvl>
  </w:abstractNum>
  <w:abstractNum w:abstractNumId="14">
    <w:lvl w:ilvl="0">
      <w:isLgl w:val="false"/>
      <w:lvlJc w:val="left"/>
      <w:lvlText w:val="(%1)"/>
      <w:numFmt w:val="decimal"/>
      <w:pPr>
        <w:pBdr/>
        <w:spacing/>
        <w:ind w:hanging="567" w:left="567"/>
      </w:pPr>
      <w:rPr>
        <w:rFonts w:ascii="Arial" w:hAnsi="Arial" w:cs="Arial"/>
        <w:b w:val="0"/>
        <w:i w:val="0"/>
        <w:strike w:val="0"/>
        <w:position w:val="0"/>
        <w:sz w:val="22"/>
        <w:szCs w:val="22"/>
        <w:vertAlign w:val="baseli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54" w:left="1021"/>
      </w:pPr>
      <w:rPr>
        <w:rFonts w:ascii="Arial" w:hAnsi="Arial" w:cs="Arial"/>
        <w:sz w:val="22"/>
        <w:szCs w:val="22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600"/>
      </w:pPr>
      <w:rPr/>
      <w:start w:val="1"/>
      <w:suff w:val="tab"/>
    </w:lvl>
  </w:abstractNum>
  <w:abstractNum w:abstractNumId="15">
    <w:lvl w:ilvl="0">
      <w:isLgl w:val="false"/>
      <w:lvlJc w:val="left"/>
      <w:lvlText w:val="(%1)"/>
      <w:numFmt w:val="decimal"/>
      <w:pPr>
        <w:pBdr/>
        <w:tabs>
          <w:tab w:val="num" w:leader="none" w:pos="567"/>
        </w:tabs>
        <w:spacing/>
        <w:ind w:hanging="567" w:left="567"/>
      </w:pPr>
      <w:rPr>
        <w:rFonts w:hint="default"/>
        <w:b w:val="0"/>
        <w:i w:val="0"/>
        <w:strike w:val="0"/>
        <w:vertAlign w:val="baseli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1021"/>
        </w:tabs>
        <w:spacing/>
        <w:ind w:hanging="454" w:left="1021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800"/>
        </w:tabs>
        <w:spacing/>
        <w:ind w:hanging="360" w:left="180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2160"/>
        </w:tabs>
        <w:spacing/>
        <w:ind w:hanging="360" w:left="216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520"/>
        </w:tabs>
        <w:spacing/>
        <w:ind w:hanging="360" w:left="25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3240"/>
        </w:tabs>
        <w:spacing/>
        <w:ind w:hanging="360" w:left="324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600"/>
        </w:tabs>
        <w:spacing/>
        <w:ind w:hanging="360" w:left="3600"/>
      </w:pPr>
      <w:rPr>
        <w:rFonts w:hint="default"/>
      </w:rPr>
      <w:start w:val="1"/>
      <w:suff w:val="tab"/>
    </w:lvl>
  </w:abstractNum>
  <w:abstractNum w:abstractNumId="16">
    <w:lvl w:ilvl="0">
      <w:isLgl w:val="false"/>
      <w:lvlJc w:val="left"/>
      <w:lvlText w:val="(%1)"/>
      <w:numFmt w:val="decimal"/>
      <w:pPr>
        <w:pBdr/>
        <w:spacing/>
        <w:ind w:hanging="567" w:left="567"/>
      </w:pPr>
      <w:rPr>
        <w:rFonts w:ascii="Arial" w:hAnsi="Arial" w:cs="Arial"/>
        <w:b w:val="0"/>
        <w:i w:val="0"/>
        <w:strike w:val="0"/>
        <w:position w:val="0"/>
        <w:sz w:val="22"/>
        <w:szCs w:val="22"/>
        <w:vertAlign w:val="baseli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54" w:left="1021"/>
      </w:pPr>
      <w:rPr/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600"/>
      </w:pPr>
      <w:rPr/>
      <w:start w:val="1"/>
      <w:suff w:val="tab"/>
    </w:lvl>
  </w:abstractNum>
  <w:abstractNum w:abstractNumId="17">
    <w:lvl w:ilvl="0">
      <w:isLgl w:val="false"/>
      <w:lvlJc w:val="left"/>
      <w:lvlText w:val="(%1)"/>
      <w:numFmt w:val="decimal"/>
      <w:pPr>
        <w:pBdr/>
        <w:tabs>
          <w:tab w:val="num" w:leader="none" w:pos="567"/>
        </w:tabs>
        <w:spacing/>
        <w:ind w:hanging="567" w:left="567"/>
      </w:pPr>
      <w:rPr>
        <w:rFonts w:hint="default"/>
        <w:b w:val="0"/>
        <w:i w:val="0"/>
        <w:strike w:val="0"/>
        <w:vertAlign w:val="baseline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1021"/>
        </w:tabs>
        <w:spacing/>
        <w:ind w:hanging="454" w:left="1021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800"/>
        </w:tabs>
        <w:spacing/>
        <w:ind w:hanging="360" w:left="180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2160"/>
        </w:tabs>
        <w:spacing/>
        <w:ind w:hanging="360" w:left="216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520"/>
        </w:tabs>
        <w:spacing/>
        <w:ind w:hanging="360" w:left="25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3240"/>
        </w:tabs>
        <w:spacing/>
        <w:ind w:hanging="360" w:left="324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600"/>
        </w:tabs>
        <w:spacing/>
        <w:ind w:hanging="360" w:left="3600"/>
      </w:pPr>
      <w:rPr>
        <w:rFonts w:hint="default"/>
      </w:rPr>
      <w:start w:val="1"/>
      <w:suff w:val="tab"/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cs-CZ" w:eastAsia="cs-CZ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64">
    <w:name w:val="Table Grid"/>
    <w:basedOn w:val="104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Table Grid Light"/>
    <w:basedOn w:val="10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Plain Table 1"/>
    <w:basedOn w:val="10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Plain Table 2"/>
    <w:basedOn w:val="10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Plain Table 3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Plain Table 4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Plain Table 5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1 Light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1 Light - Accent 1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1 Light - Accent 2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1 Light - Accent 3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1 Light - Accent 4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1 Light - Accent 5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1 Light - Accent 6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2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2 - Accent 1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2 - Accent 2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2 - Accent 3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2 - Accent 4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2 - Accent 5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2 - Accent 6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3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3 - Accent 1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3 - Accent 2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3 - Accent 3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3 - Accent 4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3 - Accent 5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3 - Accent 6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4"/>
    <w:basedOn w:val="10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4 - Accent 1"/>
    <w:basedOn w:val="10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4 - Accent 2"/>
    <w:basedOn w:val="10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4 - Accent 3"/>
    <w:basedOn w:val="10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4 - Accent 4"/>
    <w:basedOn w:val="10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4 - Accent 5"/>
    <w:basedOn w:val="10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4 - Accent 6"/>
    <w:basedOn w:val="10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5 Dark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5 Dark- Accent 1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5 Dark - Accent 2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5 Dark - Accent 3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5 Dark- Accent 4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5 Dark - Accent 5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5 Dark - Accent 6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6 Colorful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6 Colorful - Accent 1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6 Colorful - Accent 2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6 Colorful - Accent 3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6 Colorful - Accent 4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6 Colorful - Accent 5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6 Colorful - Accent 6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7 Colorful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7 Colorful - Accent 1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7 Colorful - Accent 2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7 Colorful - Accent 3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7 Colorful - Accent 4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7 Colorful - Accent 5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7 Colorful - Accent 6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1 Light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1 Light - Accent 1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1 Light - Accent 2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1 Light - Accent 3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1 Light - Accent 4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1 Light - Accent 5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1 Light - Accent 6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2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2 - Accent 1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2 - Accent 2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2 - Accent 3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2 - Accent 4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2 - Accent 5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2 - Accent 6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3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3 - Accent 1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3 - Accent 2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3 - Accent 3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3 - Accent 4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3 - Accent 5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3 - Accent 6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4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4 - Accent 1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4 - Accent 2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4 - Accent 3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4 - Accent 4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4 - Accent 5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4 - Accent 6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5 Dark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5 Dark - Accent 1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5 Dark - Accent 2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5 Dark - Accent 3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5 Dark - Accent 4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5 Dark - Accent 5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5 Dark - Accent 6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6 Colorful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6 Colorful - Accent 1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6 Colorful - Accent 2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6 Colorful - Accent 3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6 Colorful - Accent 4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6 Colorful - Accent 5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6 Colorful - Accent 6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7 Colorful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7 Colorful - Accent 1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7 Colorful - Accent 2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7 Colorful - Accent 3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7 Colorful - Accent 4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7 Colorful - Accent 5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7 Colorful - Accent 6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ned - Accent"/>
    <w:basedOn w:val="10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ned - Accent 1"/>
    <w:basedOn w:val="10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ned - Accent 2"/>
    <w:basedOn w:val="10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ned - Accent 3"/>
    <w:basedOn w:val="10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ned - Accent 4"/>
    <w:basedOn w:val="10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ned - Accent 5"/>
    <w:basedOn w:val="10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ned - Accent 6"/>
    <w:basedOn w:val="10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&amp; Lined - Accent"/>
    <w:basedOn w:val="10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&amp; Lined - Accent 1"/>
    <w:basedOn w:val="10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 &amp; Lined - Accent 2"/>
    <w:basedOn w:val="10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Bordered &amp; Lined - Accent 3"/>
    <w:basedOn w:val="10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Bordered &amp; Lined - Accent 4"/>
    <w:basedOn w:val="10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&amp; Lined - Accent 5"/>
    <w:basedOn w:val="10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&amp; Lined - Accent 6"/>
    <w:basedOn w:val="104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- Accent 1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- Accent 2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- Accent 3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- Accent 4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- Accent 5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- Accent 6"/>
    <w:basedOn w:val="10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0">
    <w:name w:val="Heading 1"/>
    <w:basedOn w:val="1044"/>
    <w:next w:val="1044"/>
    <w:link w:val="99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91">
    <w:name w:val="Heading 3"/>
    <w:basedOn w:val="1044"/>
    <w:next w:val="1044"/>
    <w:link w:val="100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92">
    <w:name w:val="Heading 4"/>
    <w:basedOn w:val="1044"/>
    <w:next w:val="1044"/>
    <w:link w:val="100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93">
    <w:name w:val="Heading 5"/>
    <w:basedOn w:val="1044"/>
    <w:next w:val="1044"/>
    <w:link w:val="100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94">
    <w:name w:val="Heading 6"/>
    <w:basedOn w:val="1044"/>
    <w:next w:val="1044"/>
    <w:link w:val="100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95">
    <w:name w:val="Heading 7"/>
    <w:basedOn w:val="1044"/>
    <w:next w:val="1044"/>
    <w:link w:val="100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96">
    <w:name w:val="Heading 8"/>
    <w:basedOn w:val="1044"/>
    <w:next w:val="1044"/>
    <w:link w:val="100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97">
    <w:name w:val="Heading 9"/>
    <w:basedOn w:val="1044"/>
    <w:next w:val="1044"/>
    <w:link w:val="100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98">
    <w:name w:val="Heading 1 Char"/>
    <w:basedOn w:val="1046"/>
    <w:link w:val="9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99">
    <w:name w:val="Heading 2 Char"/>
    <w:basedOn w:val="1046"/>
    <w:link w:val="10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00">
    <w:name w:val="Heading 3 Char"/>
    <w:basedOn w:val="1046"/>
    <w:link w:val="9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01">
    <w:name w:val="Heading 4 Char"/>
    <w:basedOn w:val="1046"/>
    <w:link w:val="99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02">
    <w:name w:val="Heading 5 Char"/>
    <w:basedOn w:val="1046"/>
    <w:link w:val="9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03">
    <w:name w:val="Heading 6 Char"/>
    <w:basedOn w:val="1046"/>
    <w:link w:val="99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04">
    <w:name w:val="Heading 7 Char"/>
    <w:basedOn w:val="1046"/>
    <w:link w:val="99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05">
    <w:name w:val="Heading 8 Char"/>
    <w:basedOn w:val="1046"/>
    <w:link w:val="9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6">
    <w:name w:val="Heading 9 Char"/>
    <w:basedOn w:val="1046"/>
    <w:link w:val="9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07">
    <w:name w:val="Title"/>
    <w:basedOn w:val="1044"/>
    <w:next w:val="1044"/>
    <w:link w:val="100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08">
    <w:name w:val="Title Char"/>
    <w:basedOn w:val="1046"/>
    <w:link w:val="100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09">
    <w:name w:val="Subtitle"/>
    <w:basedOn w:val="1044"/>
    <w:next w:val="1044"/>
    <w:link w:val="101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10">
    <w:name w:val="Subtitle Char"/>
    <w:basedOn w:val="1046"/>
    <w:link w:val="10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11">
    <w:name w:val="Quote"/>
    <w:basedOn w:val="1044"/>
    <w:next w:val="1044"/>
    <w:link w:val="101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12">
    <w:name w:val="Quote Char"/>
    <w:basedOn w:val="1046"/>
    <w:link w:val="101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13">
    <w:name w:val="List Paragraph"/>
    <w:basedOn w:val="1044"/>
    <w:uiPriority w:val="34"/>
    <w:qFormat/>
    <w:pPr>
      <w:pBdr/>
      <w:spacing/>
      <w:ind w:left="720"/>
      <w:contextualSpacing w:val="true"/>
    </w:pPr>
  </w:style>
  <w:style w:type="character" w:styleId="1014">
    <w:name w:val="Intense Emphasis"/>
    <w:basedOn w:val="104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15">
    <w:name w:val="Intense Quote"/>
    <w:basedOn w:val="1044"/>
    <w:next w:val="1044"/>
    <w:link w:val="101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16">
    <w:name w:val="Intense Quote Char"/>
    <w:basedOn w:val="1046"/>
    <w:link w:val="101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17">
    <w:name w:val="Intense Reference"/>
    <w:basedOn w:val="104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18">
    <w:name w:val="No Spacing"/>
    <w:basedOn w:val="1044"/>
    <w:uiPriority w:val="1"/>
    <w:qFormat/>
    <w:pPr>
      <w:pBdr/>
      <w:spacing w:after="0" w:line="240" w:lineRule="auto"/>
      <w:ind/>
    </w:pPr>
  </w:style>
  <w:style w:type="character" w:styleId="1019">
    <w:name w:val="Subtle Emphasis"/>
    <w:basedOn w:val="10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20">
    <w:name w:val="Emphasis"/>
    <w:basedOn w:val="1046"/>
    <w:uiPriority w:val="20"/>
    <w:qFormat/>
    <w:pPr>
      <w:pBdr/>
      <w:spacing/>
      <w:ind/>
    </w:pPr>
    <w:rPr>
      <w:i/>
      <w:iCs/>
    </w:rPr>
  </w:style>
  <w:style w:type="character" w:styleId="1021">
    <w:name w:val="Strong"/>
    <w:basedOn w:val="1046"/>
    <w:uiPriority w:val="22"/>
    <w:qFormat/>
    <w:pPr>
      <w:pBdr/>
      <w:spacing/>
      <w:ind/>
    </w:pPr>
    <w:rPr>
      <w:b/>
      <w:bCs/>
    </w:rPr>
  </w:style>
  <w:style w:type="character" w:styleId="1022">
    <w:name w:val="Subtle Reference"/>
    <w:basedOn w:val="10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23">
    <w:name w:val="Book Title"/>
    <w:basedOn w:val="104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24">
    <w:name w:val="Header Char"/>
    <w:basedOn w:val="1046"/>
    <w:link w:val="1050"/>
    <w:uiPriority w:val="99"/>
    <w:pPr>
      <w:pBdr/>
      <w:spacing/>
      <w:ind/>
    </w:pPr>
  </w:style>
  <w:style w:type="character" w:styleId="1025">
    <w:name w:val="Footer Char"/>
    <w:basedOn w:val="1046"/>
    <w:link w:val="1065"/>
    <w:uiPriority w:val="99"/>
    <w:pPr>
      <w:pBdr/>
      <w:spacing/>
      <w:ind/>
    </w:pPr>
  </w:style>
  <w:style w:type="paragraph" w:styleId="1026">
    <w:name w:val="Caption"/>
    <w:basedOn w:val="1044"/>
    <w:next w:val="104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027">
    <w:name w:val="Footnote Text Char"/>
    <w:basedOn w:val="1046"/>
    <w:link w:val="1054"/>
    <w:uiPriority w:val="99"/>
    <w:semiHidden/>
    <w:pPr>
      <w:pBdr/>
      <w:spacing/>
      <w:ind/>
    </w:pPr>
    <w:rPr>
      <w:sz w:val="20"/>
      <w:szCs w:val="20"/>
    </w:rPr>
  </w:style>
  <w:style w:type="paragraph" w:styleId="1028">
    <w:name w:val="endnote text"/>
    <w:basedOn w:val="1044"/>
    <w:link w:val="102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29">
    <w:name w:val="Endnote Text Char"/>
    <w:basedOn w:val="1046"/>
    <w:link w:val="1028"/>
    <w:uiPriority w:val="99"/>
    <w:semiHidden/>
    <w:pPr>
      <w:pBdr/>
      <w:spacing/>
      <w:ind/>
    </w:pPr>
    <w:rPr>
      <w:sz w:val="20"/>
      <w:szCs w:val="20"/>
    </w:rPr>
  </w:style>
  <w:style w:type="character" w:styleId="1030">
    <w:name w:val="endnote reference"/>
    <w:basedOn w:val="1046"/>
    <w:uiPriority w:val="99"/>
    <w:semiHidden/>
    <w:unhideWhenUsed/>
    <w:pPr>
      <w:pBdr/>
      <w:spacing/>
      <w:ind/>
    </w:pPr>
    <w:rPr>
      <w:vertAlign w:val="superscript"/>
    </w:rPr>
  </w:style>
  <w:style w:type="character" w:styleId="1031">
    <w:name w:val="Hyperlink"/>
    <w:basedOn w:val="104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32">
    <w:name w:val="FollowedHyperlink"/>
    <w:basedOn w:val="10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33">
    <w:name w:val="toc 1"/>
    <w:basedOn w:val="1044"/>
    <w:next w:val="1044"/>
    <w:uiPriority w:val="39"/>
    <w:unhideWhenUsed/>
    <w:pPr>
      <w:pBdr/>
      <w:spacing w:after="100"/>
      <w:ind/>
    </w:pPr>
  </w:style>
  <w:style w:type="paragraph" w:styleId="1034">
    <w:name w:val="toc 2"/>
    <w:basedOn w:val="1044"/>
    <w:next w:val="1044"/>
    <w:uiPriority w:val="39"/>
    <w:unhideWhenUsed/>
    <w:pPr>
      <w:pBdr/>
      <w:spacing w:after="100"/>
      <w:ind w:left="220"/>
    </w:pPr>
  </w:style>
  <w:style w:type="paragraph" w:styleId="1035">
    <w:name w:val="toc 3"/>
    <w:basedOn w:val="1044"/>
    <w:next w:val="1044"/>
    <w:uiPriority w:val="39"/>
    <w:unhideWhenUsed/>
    <w:pPr>
      <w:pBdr/>
      <w:spacing w:after="100"/>
      <w:ind w:left="440"/>
    </w:pPr>
  </w:style>
  <w:style w:type="paragraph" w:styleId="1036">
    <w:name w:val="toc 4"/>
    <w:basedOn w:val="1044"/>
    <w:next w:val="1044"/>
    <w:uiPriority w:val="39"/>
    <w:unhideWhenUsed/>
    <w:pPr>
      <w:pBdr/>
      <w:spacing w:after="100"/>
      <w:ind w:left="660"/>
    </w:pPr>
  </w:style>
  <w:style w:type="paragraph" w:styleId="1037">
    <w:name w:val="toc 5"/>
    <w:basedOn w:val="1044"/>
    <w:next w:val="1044"/>
    <w:uiPriority w:val="39"/>
    <w:unhideWhenUsed/>
    <w:pPr>
      <w:pBdr/>
      <w:spacing w:after="100"/>
      <w:ind w:left="880"/>
    </w:pPr>
  </w:style>
  <w:style w:type="paragraph" w:styleId="1038">
    <w:name w:val="toc 6"/>
    <w:basedOn w:val="1044"/>
    <w:next w:val="1044"/>
    <w:uiPriority w:val="39"/>
    <w:unhideWhenUsed/>
    <w:pPr>
      <w:pBdr/>
      <w:spacing w:after="100"/>
      <w:ind w:left="1100"/>
    </w:pPr>
  </w:style>
  <w:style w:type="paragraph" w:styleId="1039">
    <w:name w:val="toc 7"/>
    <w:basedOn w:val="1044"/>
    <w:next w:val="1044"/>
    <w:uiPriority w:val="39"/>
    <w:unhideWhenUsed/>
    <w:pPr>
      <w:pBdr/>
      <w:spacing w:after="100"/>
      <w:ind w:left="1320"/>
    </w:pPr>
  </w:style>
  <w:style w:type="paragraph" w:styleId="1040">
    <w:name w:val="toc 8"/>
    <w:basedOn w:val="1044"/>
    <w:next w:val="1044"/>
    <w:uiPriority w:val="39"/>
    <w:unhideWhenUsed/>
    <w:pPr>
      <w:pBdr/>
      <w:spacing w:after="100"/>
      <w:ind w:left="1540"/>
    </w:pPr>
  </w:style>
  <w:style w:type="paragraph" w:styleId="1041">
    <w:name w:val="toc 9"/>
    <w:basedOn w:val="1044"/>
    <w:next w:val="1044"/>
    <w:uiPriority w:val="39"/>
    <w:unhideWhenUsed/>
    <w:pPr>
      <w:pBdr/>
      <w:spacing w:after="100"/>
      <w:ind w:left="1760"/>
    </w:pPr>
  </w:style>
  <w:style w:type="paragraph" w:styleId="1042">
    <w:name w:val="TOC Heading"/>
    <w:uiPriority w:val="39"/>
    <w:unhideWhenUsed/>
    <w:pPr>
      <w:pBdr/>
      <w:spacing/>
      <w:ind/>
    </w:pPr>
  </w:style>
  <w:style w:type="paragraph" w:styleId="1043">
    <w:name w:val="table of figures"/>
    <w:basedOn w:val="1044"/>
    <w:next w:val="1044"/>
    <w:uiPriority w:val="99"/>
    <w:unhideWhenUsed/>
    <w:pPr>
      <w:pBdr/>
      <w:spacing w:after="0" w:afterAutospacing="0"/>
      <w:ind/>
    </w:pPr>
  </w:style>
  <w:style w:type="paragraph" w:styleId="1044" w:default="1">
    <w:name w:val="Normal"/>
    <w:qFormat/>
    <w:pPr>
      <w:pBdr/>
      <w:spacing/>
      <w:ind/>
    </w:pPr>
    <w:rPr>
      <w:sz w:val="24"/>
      <w:szCs w:val="24"/>
    </w:rPr>
  </w:style>
  <w:style w:type="paragraph" w:styleId="1045">
    <w:name w:val="Heading 2"/>
    <w:basedOn w:val="1044"/>
    <w:next w:val="1044"/>
    <w:link w:val="1049"/>
    <w:qFormat/>
    <w:pPr>
      <w:keepNext w:val="true"/>
      <w:pBdr/>
      <w:spacing/>
      <w:ind/>
      <w:jc w:val="both"/>
      <w:outlineLvl w:val="1"/>
    </w:pPr>
    <w:rPr>
      <w:u w:val="single"/>
    </w:rPr>
  </w:style>
  <w:style w:type="character" w:styleId="1046" w:default="1">
    <w:name w:val="Default Paragraph Font"/>
    <w:uiPriority w:val="1"/>
    <w:semiHidden/>
    <w:unhideWhenUsed/>
    <w:pPr>
      <w:pBdr/>
      <w:spacing/>
      <w:ind/>
    </w:pPr>
  </w:style>
  <w:style w:type="table" w:styleId="104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48" w:default="1">
    <w:name w:val="No List"/>
    <w:uiPriority w:val="99"/>
    <w:semiHidden/>
    <w:unhideWhenUsed/>
    <w:pPr>
      <w:pBdr/>
      <w:spacing/>
      <w:ind/>
    </w:pPr>
  </w:style>
  <w:style w:type="character" w:styleId="1049" w:customStyle="1">
    <w:name w:val="Nadpis 2 Char"/>
    <w:link w:val="1045"/>
    <w:semiHidden/>
    <w:pPr>
      <w:pBdr/>
      <w:spacing/>
      <w:ind/>
    </w:pPr>
    <w:rPr>
      <w:sz w:val="24"/>
      <w:szCs w:val="24"/>
      <w:u w:val="single"/>
      <w:lang w:val="cs-CZ" w:eastAsia="cs-CZ" w:bidi="ar-SA"/>
    </w:rPr>
  </w:style>
  <w:style w:type="paragraph" w:styleId="1050">
    <w:name w:val="Header"/>
    <w:basedOn w:val="1044"/>
    <w:link w:val="1051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051" w:customStyle="1">
    <w:name w:val="Záhlaví Char"/>
    <w:link w:val="1050"/>
    <w:semiHidden/>
    <w:pPr>
      <w:pBdr/>
      <w:spacing/>
      <w:ind/>
    </w:pPr>
    <w:rPr>
      <w:sz w:val="24"/>
      <w:szCs w:val="24"/>
      <w:lang w:val="cs-CZ" w:eastAsia="cs-CZ" w:bidi="ar-SA"/>
    </w:rPr>
  </w:style>
  <w:style w:type="paragraph" w:styleId="1052">
    <w:name w:val="Body Text"/>
    <w:basedOn w:val="1044"/>
    <w:link w:val="1053"/>
    <w:pPr>
      <w:pBdr/>
      <w:spacing w:after="120"/>
      <w:ind/>
    </w:pPr>
  </w:style>
  <w:style w:type="character" w:styleId="1053" w:customStyle="1">
    <w:name w:val="Základní text Char"/>
    <w:link w:val="1052"/>
    <w:pPr>
      <w:pBdr/>
      <w:spacing/>
      <w:ind/>
    </w:pPr>
    <w:rPr>
      <w:sz w:val="24"/>
      <w:szCs w:val="24"/>
      <w:lang w:val="cs-CZ" w:eastAsia="cs-CZ" w:bidi="ar-SA"/>
    </w:rPr>
  </w:style>
  <w:style w:type="paragraph" w:styleId="1054">
    <w:name w:val="footnote text"/>
    <w:basedOn w:val="1044"/>
    <w:link w:val="1055"/>
    <w:pPr>
      <w:pBdr/>
      <w:spacing/>
      <w:ind/>
    </w:pPr>
    <w:rPr>
      <w:sz w:val="20"/>
      <w:szCs w:val="20"/>
    </w:rPr>
  </w:style>
  <w:style w:type="character" w:styleId="1055" w:customStyle="1">
    <w:name w:val="Text pozn. pod čarou Char"/>
    <w:link w:val="1054"/>
    <w:semiHidden/>
    <w:pPr>
      <w:pBdr/>
      <w:spacing/>
      <w:ind/>
    </w:pPr>
    <w:rPr>
      <w:lang w:val="cs-CZ" w:eastAsia="cs-CZ" w:bidi="ar-SA"/>
    </w:rPr>
  </w:style>
  <w:style w:type="character" w:styleId="1056">
    <w:name w:val="footnote reference"/>
    <w:pPr>
      <w:pBdr/>
      <w:spacing/>
      <w:ind/>
    </w:pPr>
    <w:rPr>
      <w:vertAlign w:val="superscript"/>
    </w:rPr>
  </w:style>
  <w:style w:type="paragraph" w:styleId="1057" w:customStyle="1">
    <w:name w:val="Čísla článků"/>
    <w:basedOn w:val="1044"/>
    <w:pPr>
      <w:keepNext w:val="true"/>
      <w:keepLines w:val="true"/>
      <w:pBdr/>
      <w:spacing w:after="60" w:before="360"/>
      <w:ind/>
      <w:jc w:val="center"/>
    </w:pPr>
    <w:rPr>
      <w:b/>
      <w:bCs/>
      <w:szCs w:val="20"/>
    </w:rPr>
  </w:style>
  <w:style w:type="paragraph" w:styleId="1058" w:customStyle="1">
    <w:name w:val="Názvy článků"/>
    <w:basedOn w:val="1057"/>
    <w:pPr>
      <w:pBdr/>
      <w:spacing w:after="160" w:before="60"/>
      <w:ind/>
    </w:pPr>
  </w:style>
  <w:style w:type="paragraph" w:styleId="1059" w:customStyle="1">
    <w:name w:val="Text pozm.n."/>
    <w:basedOn w:val="1044"/>
    <w:next w:val="1044"/>
    <w:pPr>
      <w:numPr>
        <w:numId w:val="11"/>
      </w:numPr>
      <w:pBdr/>
      <w:tabs>
        <w:tab w:val="clear" w:leader="none" w:pos="425"/>
        <w:tab w:val="left" w:leader="none" w:pos="851"/>
      </w:tabs>
      <w:spacing w:after="120"/>
      <w:ind w:left="850"/>
      <w:jc w:val="both"/>
    </w:pPr>
    <w:rPr>
      <w:szCs w:val="20"/>
    </w:rPr>
  </w:style>
  <w:style w:type="paragraph" w:styleId="1060">
    <w:name w:val="Balloon Text"/>
    <w:basedOn w:val="1044"/>
    <w:link w:val="1061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61" w:customStyle="1">
    <w:name w:val="Text bubliny Char"/>
    <w:link w:val="1060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62">
    <w:name w:val="annotation reference"/>
    <w:uiPriority w:val="99"/>
    <w:pPr>
      <w:pBdr/>
      <w:spacing/>
      <w:ind/>
    </w:pPr>
    <w:rPr>
      <w:sz w:val="16"/>
      <w:szCs w:val="16"/>
    </w:rPr>
  </w:style>
  <w:style w:type="paragraph" w:styleId="1063">
    <w:name w:val="annotation text"/>
    <w:basedOn w:val="1044"/>
    <w:link w:val="1064"/>
    <w:uiPriority w:val="99"/>
    <w:pPr>
      <w:pBdr/>
      <w:spacing/>
      <w:ind/>
    </w:pPr>
    <w:rPr>
      <w:sz w:val="20"/>
      <w:szCs w:val="20"/>
    </w:rPr>
  </w:style>
  <w:style w:type="character" w:styleId="1064" w:customStyle="1">
    <w:name w:val="Text komentáře Char"/>
    <w:basedOn w:val="1046"/>
    <w:link w:val="1063"/>
    <w:uiPriority w:val="99"/>
    <w:pPr>
      <w:pBdr/>
      <w:spacing/>
      <w:ind/>
    </w:pPr>
  </w:style>
  <w:style w:type="paragraph" w:styleId="1065">
    <w:name w:val="Footer"/>
    <w:basedOn w:val="1044"/>
    <w:link w:val="1066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1066" w:customStyle="1">
    <w:name w:val="Zápatí Char"/>
    <w:link w:val="1065"/>
    <w:uiPriority w:val="99"/>
    <w:pPr>
      <w:pBdr/>
      <w:spacing/>
      <w:ind/>
    </w:pPr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Ministerstvo financí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revision>5</cp:revision>
  <dcterms:created xsi:type="dcterms:W3CDTF">2023-09-12T18:52:00Z</dcterms:created>
  <dcterms:modified xsi:type="dcterms:W3CDTF">2025-11-04T12:52:07Z</dcterms:modified>
</cp:coreProperties>
</file>