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ind w:left="9176"/>
        <w:rPr>
          <w:color w:val="000000"/>
          <w:sz w:val="20"/>
          <w:szCs w:val="20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44"/>
          <w:szCs w:val="44"/>
        </w:rPr>
      </w:pPr>
    </w:p>
    <w:p w:rsidR="000339BA" w:rsidRDefault="00AE261A" w:rsidP="00AE261A">
      <w:pPr>
        <w:pStyle w:val="Nzev"/>
        <w:ind w:left="0"/>
      </w:pPr>
      <w:r>
        <w:rPr>
          <w:color w:val="2F2F2F"/>
        </w:rPr>
        <w:t xml:space="preserve">     </w:t>
      </w:r>
      <w:r w:rsidR="00000000">
        <w:rPr>
          <w:color w:val="2F2F2F"/>
        </w:rPr>
        <w:t>Město Vyšší Brod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339BA" w:rsidRDefault="00AE261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3081655</wp:posOffset>
            </wp:positionH>
            <wp:positionV relativeFrom="paragraph">
              <wp:posOffset>266065</wp:posOffset>
            </wp:positionV>
            <wp:extent cx="646430" cy="731520"/>
            <wp:effectExtent l="0" t="0" r="0" b="0"/>
            <wp:wrapTopAndBottom distT="0" dist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339BA" w:rsidRDefault="000339BA">
      <w:pPr>
        <w:spacing w:before="303"/>
        <w:ind w:left="981" w:right="1104"/>
        <w:jc w:val="center"/>
        <w:rPr>
          <w:b/>
          <w:sz w:val="31"/>
          <w:szCs w:val="31"/>
        </w:rPr>
      </w:pPr>
    </w:p>
    <w:p w:rsidR="000339BA" w:rsidRDefault="000339BA" w:rsidP="00AE261A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b/>
          <w:color w:val="000000"/>
          <w:sz w:val="31"/>
          <w:szCs w:val="31"/>
        </w:rPr>
      </w:pPr>
    </w:p>
    <w:p w:rsidR="000339BA" w:rsidRDefault="00AE261A" w:rsidP="00AE261A">
      <w:pPr>
        <w:pStyle w:val="Nadpis1"/>
        <w:spacing w:line="244" w:lineRule="auto"/>
        <w:ind w:left="0"/>
        <w:rPr>
          <w:color w:val="2F2F2F"/>
        </w:rPr>
      </w:pPr>
      <w:r>
        <w:rPr>
          <w:color w:val="2F2F2F"/>
        </w:rPr>
        <w:t xml:space="preserve">       </w:t>
      </w:r>
      <w:r w:rsidR="00000000">
        <w:rPr>
          <w:color w:val="2F2F2F"/>
        </w:rPr>
        <w:t>Nařízení města Vyšší Brod</w:t>
      </w:r>
    </w:p>
    <w:p w:rsidR="000339BA" w:rsidRDefault="00AE261A" w:rsidP="00AE261A">
      <w:pPr>
        <w:pStyle w:val="Nadpis1"/>
        <w:spacing w:line="244" w:lineRule="auto"/>
        <w:ind w:firstLine="981"/>
        <w:rPr>
          <w:color w:val="2F2F2F"/>
        </w:rPr>
      </w:pPr>
      <w:r>
        <w:rPr>
          <w:color w:val="2F2F2F"/>
        </w:rPr>
        <w:t xml:space="preserve"> </w:t>
      </w:r>
    </w:p>
    <w:p w:rsidR="000339BA" w:rsidRDefault="000339BA" w:rsidP="00AE261A">
      <w:pPr>
        <w:pStyle w:val="Nadpis1"/>
        <w:spacing w:line="244" w:lineRule="auto"/>
        <w:ind w:left="0"/>
        <w:jc w:val="left"/>
        <w:rPr>
          <w:color w:val="2F2F2F"/>
        </w:rPr>
      </w:pPr>
    </w:p>
    <w:p w:rsidR="000339BA" w:rsidRDefault="00AE261A" w:rsidP="00AE261A">
      <w:pPr>
        <w:pStyle w:val="Nadpis1"/>
        <w:spacing w:line="244" w:lineRule="auto"/>
        <w:ind w:left="0"/>
        <w:rPr>
          <w:color w:val="2F2F2F"/>
        </w:rPr>
      </w:pPr>
      <w:r>
        <w:rPr>
          <w:color w:val="2F2F2F"/>
        </w:rPr>
        <w:t>které</w:t>
      </w:r>
      <w:r w:rsidR="00000000">
        <w:rPr>
          <w:color w:val="2F2F2F"/>
        </w:rPr>
        <w:t xml:space="preserve"> upravuje placené parkování motorových</w:t>
      </w:r>
      <w:r>
        <w:rPr>
          <w:color w:val="2F2F2F"/>
        </w:rPr>
        <w:t xml:space="preserve"> </w:t>
      </w:r>
      <w:r w:rsidR="00000000">
        <w:rPr>
          <w:color w:val="2F2F2F"/>
        </w:rPr>
        <w:t xml:space="preserve">vozidel na území                                                                          </w:t>
      </w:r>
      <w:r>
        <w:rPr>
          <w:color w:val="2F2F2F"/>
        </w:rPr>
        <w:t xml:space="preserve">      </w:t>
      </w:r>
      <w:r w:rsidR="00000000">
        <w:rPr>
          <w:color w:val="2F2F2F"/>
        </w:rPr>
        <w:t>Města Vyšší Brod,</w:t>
      </w:r>
      <w:r>
        <w:rPr>
          <w:color w:val="2F2F2F"/>
        </w:rPr>
        <w:t xml:space="preserve"> </w:t>
      </w:r>
      <w:r w:rsidR="00000000">
        <w:rPr>
          <w:color w:val="2F2F2F"/>
        </w:rPr>
        <w:t>na</w:t>
      </w:r>
      <w:bookmarkStart w:id="0" w:name="_heading=h.6x9u1q9vn3xt" w:colFirst="0" w:colLast="0"/>
      <w:bookmarkEnd w:id="0"/>
      <w:r>
        <w:rPr>
          <w:color w:val="2F2F2F"/>
        </w:rPr>
        <w:t> </w:t>
      </w:r>
      <w:r w:rsidR="00000000">
        <w:rPr>
          <w:color w:val="2F2F2F"/>
        </w:rPr>
        <w:t>parkovištích ve správě Města Vyšší Brod osazených</w:t>
      </w:r>
      <w:r>
        <w:rPr>
          <w:color w:val="2F2F2F"/>
        </w:rPr>
        <w:t xml:space="preserve"> </w:t>
      </w:r>
      <w:r w:rsidR="00000000">
        <w:rPr>
          <w:color w:val="2F2F2F"/>
        </w:rPr>
        <w:t>parkovacími automaty</w:t>
      </w:r>
    </w:p>
    <w:p w:rsidR="000339BA" w:rsidRDefault="000339BA">
      <w:pPr>
        <w:pStyle w:val="Nadpis1"/>
        <w:spacing w:line="244" w:lineRule="auto"/>
        <w:ind w:firstLine="981"/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1"/>
          <w:szCs w:val="31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1"/>
          <w:szCs w:val="31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298"/>
        <w:rPr>
          <w:b/>
          <w:color w:val="000000"/>
          <w:sz w:val="31"/>
          <w:szCs w:val="31"/>
        </w:rPr>
      </w:pPr>
    </w:p>
    <w:p w:rsidR="000339BA" w:rsidRDefault="00000000" w:rsidP="00AE261A">
      <w:pPr>
        <w:spacing w:before="1"/>
        <w:ind w:left="994" w:right="1147" w:firstLine="720"/>
        <w:jc w:val="both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 xml:space="preserve">Rada Města Vyšší Brod se na své schůzi dne 22. 5. 2024 usnesením č. 2024.33.6.RM usnesla na základě §23 odst. 1 zákona č. 13/1997Sb., </w:t>
      </w:r>
      <w:r w:rsidR="00AE261A">
        <w:rPr>
          <w:color w:val="2F2F2F"/>
          <w:sz w:val="24"/>
          <w:szCs w:val="24"/>
        </w:rPr>
        <w:t>o</w:t>
      </w:r>
      <w:r>
        <w:rPr>
          <w:color w:val="2F2F2F"/>
          <w:sz w:val="24"/>
          <w:szCs w:val="24"/>
        </w:rPr>
        <w:t xml:space="preserve"> pozemních komunikacích, ve znění pozdějších předpisů a v souladu s § 11 odst. 1 a § 102 odst. 2, písm. d) zákona č. 128/2000 Sb. </w:t>
      </w:r>
      <w:r w:rsidR="00AE261A">
        <w:rPr>
          <w:color w:val="2F2F2F"/>
          <w:sz w:val="24"/>
          <w:szCs w:val="24"/>
        </w:rPr>
        <w:t>o</w:t>
      </w:r>
      <w:r>
        <w:rPr>
          <w:color w:val="2F2F2F"/>
          <w:sz w:val="24"/>
          <w:szCs w:val="24"/>
        </w:rPr>
        <w:t xml:space="preserve"> obcích (obecní zřízení), ve znění pozdějších předpisů, vydat toto nařízení.</w:t>
      </w:r>
    </w:p>
    <w:p w:rsidR="000339BA" w:rsidRDefault="000339BA">
      <w:pPr>
        <w:spacing w:before="1"/>
        <w:ind w:left="994" w:right="1147" w:firstLine="720"/>
        <w:rPr>
          <w:color w:val="2F2F2F"/>
          <w:sz w:val="24"/>
          <w:szCs w:val="24"/>
        </w:rPr>
        <w:sectPr w:rsidR="000339BA">
          <w:pgSz w:w="11910" w:h="16840"/>
          <w:pgMar w:top="340" w:right="240" w:bottom="280" w:left="420" w:header="708" w:footer="708" w:gutter="0"/>
          <w:pgNumType w:start="1"/>
          <w:cols w:space="708"/>
        </w:sectPr>
      </w:pPr>
    </w:p>
    <w:p w:rsidR="000339BA" w:rsidRDefault="00000000">
      <w:pPr>
        <w:spacing w:before="71"/>
        <w:ind w:left="1010" w:right="1103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lastRenderedPageBreak/>
        <w:t>Čl. I.</w:t>
      </w:r>
    </w:p>
    <w:p w:rsidR="000339BA" w:rsidRDefault="00000000">
      <w:pPr>
        <w:spacing w:before="9"/>
        <w:ind w:left="993" w:right="1103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Předmět úpravy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color w:val="000000"/>
          <w:sz w:val="23"/>
          <w:szCs w:val="23"/>
        </w:rPr>
      </w:pP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008" w:right="1147" w:firstLine="713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Toto nařízení upravuje placené parkování motorových vozidel na parkovištích zřízených na</w:t>
      </w:r>
      <w:r w:rsidR="00AE261A">
        <w:rPr>
          <w:color w:val="2D2D2D"/>
          <w:sz w:val="23"/>
          <w:szCs w:val="23"/>
        </w:rPr>
        <w:t> </w:t>
      </w:r>
      <w:r>
        <w:rPr>
          <w:color w:val="2D2D2D"/>
          <w:sz w:val="23"/>
          <w:szCs w:val="23"/>
        </w:rPr>
        <w:t>pozemcích ve vlastnictví Města Vyšší Brod, osazených parkovacími automaty.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:rsidR="000339BA" w:rsidRDefault="00000000">
      <w:pPr>
        <w:ind w:left="995" w:right="1103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Čl. II.</w:t>
      </w:r>
    </w:p>
    <w:p w:rsidR="000339BA" w:rsidRDefault="00000000">
      <w:pPr>
        <w:spacing w:before="14"/>
        <w:ind w:left="981" w:right="1121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Parkoviště osazené parkovacími automaty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b/>
          <w:color w:val="000000"/>
          <w:sz w:val="23"/>
          <w:szCs w:val="23"/>
        </w:rPr>
      </w:pPr>
    </w:p>
    <w:p w:rsidR="000339BA" w:rsidRDefault="00000000" w:rsidP="006F0F4D">
      <w:pPr>
        <w:pBdr>
          <w:top w:val="nil"/>
          <w:left w:val="nil"/>
          <w:bottom w:val="nil"/>
          <w:right w:val="nil"/>
          <w:between w:val="nil"/>
        </w:pBdr>
        <w:ind w:left="1715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Parkovacími automaty jsou osazeny parkoviště na p. p. č. 1749/1, p. p. č. 1749/6</w:t>
      </w: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1005" w:right="1147" w:hanging="2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/náměstí/ ap. p. č. 1402, p. p. č. 123 uč. p. 120. Oblast parkování je označena příslušnými dopravními značkami.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3"/>
          <w:szCs w:val="23"/>
        </w:rPr>
      </w:pPr>
    </w:p>
    <w:p w:rsidR="000339BA" w:rsidRDefault="00000000">
      <w:pPr>
        <w:ind w:left="982" w:right="1103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Čl. III.</w:t>
      </w:r>
    </w:p>
    <w:p w:rsidR="000339BA" w:rsidRDefault="00000000">
      <w:pPr>
        <w:spacing w:before="10"/>
        <w:ind w:left="981" w:right="1129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Cena stvrzenek vydávaných parkovacími automaty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3"/>
          <w:szCs w:val="23"/>
        </w:rPr>
      </w:pPr>
    </w:p>
    <w:p w:rsidR="000339BA" w:rsidRDefault="00000000" w:rsidP="00AE261A">
      <w:pPr>
        <w:spacing w:before="1" w:line="249" w:lineRule="auto"/>
        <w:ind w:left="995" w:right="1147" w:firstLine="715"/>
        <w:jc w:val="both"/>
        <w:rPr>
          <w:color w:val="2D2D2D"/>
          <w:sz w:val="23"/>
          <w:szCs w:val="23"/>
        </w:rPr>
      </w:pPr>
      <w:r>
        <w:rPr>
          <w:color w:val="2D2D2D"/>
          <w:sz w:val="23"/>
          <w:szCs w:val="23"/>
        </w:rPr>
        <w:t>Cena za parkování osobních automobilů byla schválena Radou Města Vyšší Brod a činí 20,- Kč za každou započatou hodinu parkování. Cena za parkování autobusů byla schválena Radou Města Vyšší Brod a činí 100,- Kč za každou započatou hodinu. Veškerá pravidla pro parkování, včetně doby, kdy je parkování zpoplatněno, jsou uvedena v instrukcích na všech parkovacích automatech a virtuálních parkovacích automatech. Parkování je povoleno po uhrazení parkovacího poplatku.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995" w:right="1147" w:firstLine="715"/>
        <w:rPr>
          <w:color w:val="2D2D2D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color w:val="000000"/>
          <w:sz w:val="23"/>
          <w:szCs w:val="23"/>
        </w:rPr>
      </w:pPr>
    </w:p>
    <w:p w:rsidR="000339BA" w:rsidRDefault="00000000">
      <w:pPr>
        <w:spacing w:before="1"/>
        <w:ind w:left="981" w:right="1111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Čl. IV.</w:t>
      </w:r>
    </w:p>
    <w:p w:rsidR="000339BA" w:rsidRDefault="00000000">
      <w:pPr>
        <w:spacing w:before="9"/>
        <w:ind w:left="981" w:right="1133"/>
        <w:jc w:val="center"/>
        <w:rPr>
          <w:b/>
          <w:sz w:val="23"/>
          <w:szCs w:val="23"/>
        </w:rPr>
      </w:pPr>
      <w:r>
        <w:rPr>
          <w:b/>
          <w:color w:val="2D2D2D"/>
          <w:sz w:val="23"/>
          <w:szCs w:val="23"/>
        </w:rPr>
        <w:t>Parkovací karty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color w:val="000000"/>
          <w:sz w:val="23"/>
          <w:szCs w:val="23"/>
        </w:rPr>
      </w:pPr>
    </w:p>
    <w:p w:rsidR="000339BA" w:rsidRDefault="0000000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90" w:right="1392" w:firstLine="715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Parkování osobních automobilů na parkovištích osazených parkovacími automaty je možné též s použitím parkovacích karet vydávaných Městem Vyšší Brod s platností od 1. 1. do</w:t>
      </w:r>
      <w:r w:rsidR="00AE261A">
        <w:rPr>
          <w:color w:val="2D2D2D"/>
          <w:sz w:val="23"/>
          <w:szCs w:val="23"/>
        </w:rPr>
        <w:t> </w:t>
      </w:r>
      <w:r>
        <w:rPr>
          <w:color w:val="2D2D2D"/>
          <w:sz w:val="23"/>
          <w:szCs w:val="23"/>
        </w:rPr>
        <w:t>31. 12. v roce, ve kterém byla karta zakoupena.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3"/>
          <w:szCs w:val="23"/>
        </w:rPr>
      </w:pPr>
    </w:p>
    <w:p w:rsidR="000339B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1"/>
        </w:tabs>
        <w:spacing w:before="1"/>
        <w:ind w:left="1231" w:hanging="239"/>
        <w:rPr>
          <w:b/>
          <w:color w:val="000000"/>
          <w:sz w:val="23"/>
          <w:szCs w:val="23"/>
        </w:rPr>
      </w:pPr>
      <w:r>
        <w:rPr>
          <w:b/>
          <w:color w:val="2D2D2D"/>
          <w:sz w:val="23"/>
          <w:szCs w:val="23"/>
        </w:rPr>
        <w:t>Parkovací karta pro občany Vyššího Brodu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3"/>
          <w:szCs w:val="23"/>
        </w:rPr>
      </w:pP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988" w:right="1231" w:firstLine="713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Tuto parkovací kartu si mohou zakoupit občané starší 18 let s trvalým bydlištěm ve Vyšším Brodě, kteří jsou vlastníci nebo provozovatelé osobního automobilu, za jednorázový poplatek 100,-</w:t>
      </w:r>
      <w:r w:rsidR="00AE261A">
        <w:rPr>
          <w:color w:val="2D2D2D"/>
          <w:sz w:val="23"/>
          <w:szCs w:val="23"/>
        </w:rPr>
        <w:t> </w:t>
      </w:r>
      <w:r>
        <w:rPr>
          <w:color w:val="2D2D2D"/>
          <w:sz w:val="23"/>
          <w:szCs w:val="23"/>
        </w:rPr>
        <w:t>Kč. Výše poplatku byla schválena radou Města Vyšší Brod usnesením č. II/6 ze dne 8. 12. 2008.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3"/>
          <w:szCs w:val="23"/>
        </w:rPr>
      </w:pPr>
    </w:p>
    <w:p w:rsidR="000339B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ind w:left="1227" w:hanging="243"/>
        <w:rPr>
          <w:b/>
          <w:color w:val="000000"/>
          <w:sz w:val="23"/>
          <w:szCs w:val="23"/>
        </w:rPr>
      </w:pPr>
      <w:r>
        <w:rPr>
          <w:b/>
          <w:color w:val="2D2D2D"/>
          <w:sz w:val="23"/>
          <w:szCs w:val="23"/>
        </w:rPr>
        <w:t>Parkovací karta pro občany ČR bez ohledu na místo trvalého bydliště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b/>
          <w:color w:val="000000"/>
          <w:sz w:val="23"/>
          <w:szCs w:val="23"/>
        </w:rPr>
      </w:pP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81" w:right="1147" w:firstLine="716"/>
        <w:jc w:val="both"/>
        <w:rPr>
          <w:color w:val="000000"/>
          <w:sz w:val="23"/>
          <w:szCs w:val="23"/>
        </w:rPr>
      </w:pPr>
      <w:r>
        <w:rPr>
          <w:color w:val="2D2D2D"/>
          <w:sz w:val="23"/>
          <w:szCs w:val="23"/>
        </w:rPr>
        <w:t>Tuto parkovací kartu si mohou zakoupit i další občané starší 18 let bez ohledu na místo trvalého bydliště, kteří jsou vlastníci nebo provozovatelé osobního automobilu, za jednorázový poplatek 500,- Kč. Výše poplatku byla schválena Radou města Vyšší Brod usnesením č. II/6 ze dne 8. 12. 2008.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3"/>
          <w:szCs w:val="23"/>
        </w:rPr>
      </w:pPr>
    </w:p>
    <w:p w:rsidR="000339B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ind w:left="1227" w:hanging="247"/>
        <w:rPr>
          <w:b/>
          <w:color w:val="000000"/>
          <w:sz w:val="23"/>
          <w:szCs w:val="23"/>
        </w:rPr>
      </w:pPr>
      <w:r>
        <w:rPr>
          <w:b/>
          <w:color w:val="2D2D2D"/>
          <w:sz w:val="23"/>
          <w:szCs w:val="23"/>
        </w:rPr>
        <w:t>Parkovací karty pro právnické nebo fyzické podnikající osoby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b/>
          <w:color w:val="000000"/>
          <w:sz w:val="23"/>
          <w:szCs w:val="23"/>
        </w:rPr>
      </w:pP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76" w:right="1147" w:firstLine="716"/>
        <w:jc w:val="both"/>
        <w:rPr>
          <w:color w:val="000000"/>
          <w:sz w:val="23"/>
          <w:szCs w:val="23"/>
        </w:rPr>
        <w:sectPr w:rsidR="000339BA">
          <w:pgSz w:w="11910" w:h="16840"/>
          <w:pgMar w:top="1440" w:right="240" w:bottom="280" w:left="420" w:header="708" w:footer="708" w:gutter="0"/>
          <w:cols w:space="708"/>
        </w:sectPr>
      </w:pPr>
      <w:r>
        <w:rPr>
          <w:color w:val="2D2D2D"/>
          <w:sz w:val="23"/>
          <w:szCs w:val="23"/>
        </w:rPr>
        <w:t>Tyto parkovací karty si mohou zakoupit právnické nebo fyzické osoby podnikající podle</w:t>
      </w:r>
      <w:r w:rsidR="00AE261A">
        <w:rPr>
          <w:color w:val="2D2D2D"/>
          <w:sz w:val="23"/>
          <w:szCs w:val="23"/>
        </w:rPr>
        <w:t> </w:t>
      </w:r>
      <w:r>
        <w:rPr>
          <w:color w:val="2D2D2D"/>
          <w:sz w:val="23"/>
          <w:szCs w:val="23"/>
        </w:rPr>
        <w:t>zákona č. 455/1991 Sb. o živnostenském podnikání, ve znění pozdějších předpisů, které mají sídlo nebo provozovnu na území města Vyšší Brod. Každá výše uvedená osoba si může na</w:t>
      </w:r>
      <w:r w:rsidR="00AE261A">
        <w:rPr>
          <w:color w:val="2D2D2D"/>
          <w:sz w:val="23"/>
          <w:szCs w:val="23"/>
        </w:rPr>
        <w:t> </w:t>
      </w:r>
      <w:r>
        <w:rPr>
          <w:color w:val="2D2D2D"/>
          <w:sz w:val="23"/>
          <w:szCs w:val="23"/>
        </w:rPr>
        <w:t>kalendářní rok zakoupit nejvýše čtyři přenosné parkovací karty za jednorázový poplatek</w:t>
      </w:r>
    </w:p>
    <w:p w:rsidR="000339BA" w:rsidRDefault="00000000">
      <w:pPr>
        <w:spacing w:before="61"/>
        <w:ind w:left="103"/>
        <w:rPr>
          <w:sz w:val="28"/>
          <w:szCs w:val="28"/>
        </w:rPr>
      </w:pPr>
      <w:r>
        <w:rPr>
          <w:color w:val="D1C4DB"/>
          <w:sz w:val="28"/>
          <w:szCs w:val="28"/>
        </w:rPr>
        <w:lastRenderedPageBreak/>
        <w:t>,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3"/>
          <w:szCs w:val="23"/>
        </w:rPr>
      </w:pPr>
    </w:p>
    <w:p w:rsidR="000339BA" w:rsidRDefault="00000000" w:rsidP="00AE261A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014" w:right="1147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>5 000,- Kč za jednu kartu. Výše poplatku byla schválena Radou Města Vyšší Brod 15. 5. 2013. Tyto parkovací karty platí pouze pro parkování na parkovištích osazených parkovacími automaty na p.</w:t>
      </w:r>
      <w:r w:rsidR="00AE261A">
        <w:rPr>
          <w:color w:val="2F2F2F"/>
          <w:sz w:val="23"/>
          <w:szCs w:val="23"/>
        </w:rPr>
        <w:t> </w:t>
      </w:r>
      <w:r>
        <w:rPr>
          <w:color w:val="2F2F2F"/>
          <w:sz w:val="23"/>
          <w:szCs w:val="23"/>
        </w:rPr>
        <w:t>p. č. 1749/1 ap. p. č. 1749/6 /náměstí/.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color w:val="000000"/>
          <w:sz w:val="23"/>
          <w:szCs w:val="23"/>
        </w:rPr>
      </w:pPr>
    </w:p>
    <w:p w:rsidR="000339BA" w:rsidRDefault="00000000">
      <w:pPr>
        <w:ind w:left="988" w:right="1103"/>
        <w:jc w:val="center"/>
        <w:rPr>
          <w:b/>
          <w:sz w:val="23"/>
          <w:szCs w:val="23"/>
        </w:rPr>
      </w:pPr>
      <w:r>
        <w:rPr>
          <w:b/>
          <w:color w:val="2F2F2F"/>
          <w:sz w:val="23"/>
          <w:szCs w:val="23"/>
        </w:rPr>
        <w:t>Čl. V</w:t>
      </w:r>
    </w:p>
    <w:p w:rsidR="000339BA" w:rsidRDefault="00000000">
      <w:pPr>
        <w:spacing w:before="14"/>
        <w:ind w:left="981" w:right="1115"/>
        <w:jc w:val="center"/>
        <w:rPr>
          <w:b/>
          <w:sz w:val="23"/>
          <w:szCs w:val="23"/>
        </w:rPr>
      </w:pPr>
      <w:r>
        <w:rPr>
          <w:b/>
          <w:color w:val="2F2F2F"/>
          <w:sz w:val="23"/>
          <w:szCs w:val="23"/>
        </w:rPr>
        <w:t>Závěrečná ustanovení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color w:val="000000"/>
          <w:sz w:val="23"/>
          <w:szCs w:val="23"/>
        </w:rPr>
      </w:pPr>
    </w:p>
    <w:p w:rsidR="000339BA" w:rsidRDefault="00000000" w:rsidP="00AE2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  <w:tab w:val="left" w:pos="1249"/>
        </w:tabs>
        <w:spacing w:line="249" w:lineRule="auto"/>
        <w:ind w:right="1700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 xml:space="preserve">Parkovací karty lze zakoupit ve služebně městské </w:t>
      </w:r>
      <w:r w:rsidR="00AE261A">
        <w:rPr>
          <w:color w:val="2F2F2F"/>
          <w:sz w:val="23"/>
          <w:szCs w:val="23"/>
        </w:rPr>
        <w:t>policie – ulice</w:t>
      </w:r>
      <w:r>
        <w:rPr>
          <w:color w:val="2F2F2F"/>
          <w:sz w:val="23"/>
          <w:szCs w:val="23"/>
        </w:rPr>
        <w:t xml:space="preserve"> Míru č. p. 200, Vyšší Brod. Doba prodeje parkovacích karet je vyznačena u vchodu do služebny.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:rsidR="000339BA" w:rsidRDefault="00000000" w:rsidP="00AE2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9"/>
          <w:tab w:val="left" w:pos="1252"/>
        </w:tabs>
        <w:spacing w:line="249" w:lineRule="auto"/>
        <w:ind w:right="1390" w:hanging="242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ab/>
        <w:t xml:space="preserve">Při nákupu parkovacích karet dle čl. IV odst. </w:t>
      </w:r>
      <w:r>
        <w:rPr>
          <w:rFonts w:ascii="Arial" w:eastAsia="Arial" w:hAnsi="Arial" w:cs="Arial"/>
          <w:color w:val="2F2F2F"/>
        </w:rPr>
        <w:t>1</w:t>
      </w:r>
      <w:r>
        <w:rPr>
          <w:rFonts w:ascii="Arial" w:eastAsia="Arial" w:hAnsi="Arial" w:cs="Arial"/>
          <w:b/>
          <w:color w:val="2F2F2F"/>
        </w:rPr>
        <w:t xml:space="preserve"> </w:t>
      </w:r>
      <w:r>
        <w:rPr>
          <w:color w:val="2F2F2F"/>
          <w:sz w:val="23"/>
          <w:szCs w:val="23"/>
        </w:rPr>
        <w:t>a 2 předloží žadatel občanský průkaz a</w:t>
      </w:r>
      <w:r w:rsidR="00AE261A">
        <w:rPr>
          <w:color w:val="2F2F2F"/>
          <w:sz w:val="23"/>
          <w:szCs w:val="23"/>
        </w:rPr>
        <w:t> </w:t>
      </w:r>
      <w:r>
        <w:rPr>
          <w:color w:val="2F2F2F"/>
          <w:sz w:val="23"/>
          <w:szCs w:val="23"/>
        </w:rPr>
        <w:t>osvědčení o technickém průkazu daného osobního automobilu, jehož RZ bude vyznačena v</w:t>
      </w:r>
      <w:r w:rsidR="00AE261A">
        <w:rPr>
          <w:color w:val="2F2F2F"/>
          <w:sz w:val="23"/>
          <w:szCs w:val="23"/>
        </w:rPr>
        <w:t> </w:t>
      </w:r>
      <w:r>
        <w:rPr>
          <w:color w:val="2F2F2F"/>
          <w:sz w:val="23"/>
          <w:szCs w:val="23"/>
        </w:rPr>
        <w:t>parkovací kartě.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0339BA" w:rsidRDefault="00000000" w:rsidP="00AE2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3"/>
          <w:tab w:val="left" w:pos="1246"/>
        </w:tabs>
        <w:spacing w:line="252" w:lineRule="auto"/>
        <w:ind w:left="1246" w:right="1327" w:hanging="242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>Při nákupu parkovacích karet dle čl. IV odst. 3 prokazuje žadatel adresu sídla nebo</w:t>
      </w:r>
      <w:r w:rsidR="00AE261A">
        <w:rPr>
          <w:color w:val="2F2F2F"/>
          <w:sz w:val="23"/>
          <w:szCs w:val="23"/>
        </w:rPr>
        <w:t> </w:t>
      </w:r>
      <w:r>
        <w:rPr>
          <w:color w:val="2F2F2F"/>
          <w:sz w:val="23"/>
          <w:szCs w:val="23"/>
        </w:rPr>
        <w:t xml:space="preserve">provozovny některým z těchto </w:t>
      </w:r>
      <w:r w:rsidR="00AE261A">
        <w:rPr>
          <w:color w:val="2F2F2F"/>
          <w:sz w:val="23"/>
          <w:szCs w:val="23"/>
        </w:rPr>
        <w:t>dokladů – nabývacím</w:t>
      </w:r>
      <w:r>
        <w:rPr>
          <w:color w:val="2F2F2F"/>
          <w:sz w:val="23"/>
          <w:szCs w:val="23"/>
        </w:rPr>
        <w:t xml:space="preserve"> dokladem k nemovitosti, nájemní smlouvou, výpisem z obchodního rejstříku nebo živnostenským oprávněním. Parkovací karty budou vystaveny na</w:t>
      </w:r>
      <w:r w:rsidR="00AE261A">
        <w:rPr>
          <w:color w:val="2F2F2F"/>
          <w:sz w:val="23"/>
          <w:szCs w:val="23"/>
        </w:rPr>
        <w:t> </w:t>
      </w:r>
      <w:r>
        <w:rPr>
          <w:color w:val="2F2F2F"/>
          <w:sz w:val="23"/>
          <w:szCs w:val="23"/>
        </w:rPr>
        <w:t>obchodní jméno podnikajících osob.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:rsidR="000339BA" w:rsidRDefault="00000000" w:rsidP="00AE2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1244" w:hanging="245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>Parkovací karty obsahují podrobné poučení k jejich použití.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3"/>
          <w:szCs w:val="23"/>
        </w:rPr>
      </w:pPr>
    </w:p>
    <w:p w:rsidR="000339BA" w:rsidRDefault="00000000" w:rsidP="00AE2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1242"/>
        </w:tabs>
        <w:spacing w:line="249" w:lineRule="auto"/>
        <w:ind w:left="1240" w:right="1283" w:hanging="239"/>
        <w:jc w:val="both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ab/>
        <w:t>Stvrzenky vydané parkovacími automaty a parkovací karty musí být po celou dobu pobytu vozidla na výše uvedených parkovištích, umístěny viditelně za čelním sklem osobního automobilu.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3"/>
          <w:szCs w:val="23"/>
        </w:rPr>
      </w:pPr>
    </w:p>
    <w:p w:rsidR="000339BA" w:rsidRDefault="00000000">
      <w:pPr>
        <w:ind w:left="981" w:right="1130"/>
        <w:jc w:val="center"/>
        <w:rPr>
          <w:b/>
          <w:sz w:val="23"/>
          <w:szCs w:val="23"/>
        </w:rPr>
      </w:pPr>
      <w:r>
        <w:rPr>
          <w:b/>
          <w:color w:val="2F2F2F"/>
          <w:sz w:val="23"/>
          <w:szCs w:val="23"/>
        </w:rPr>
        <w:t>Čl. VI</w:t>
      </w:r>
    </w:p>
    <w:p w:rsidR="000339BA" w:rsidRDefault="00000000">
      <w:pPr>
        <w:spacing w:before="15"/>
        <w:ind w:left="981" w:right="1143"/>
        <w:jc w:val="center"/>
        <w:rPr>
          <w:b/>
          <w:sz w:val="23"/>
          <w:szCs w:val="23"/>
        </w:rPr>
      </w:pPr>
      <w:r>
        <w:rPr>
          <w:b/>
          <w:color w:val="2F2F2F"/>
          <w:sz w:val="23"/>
          <w:szCs w:val="23"/>
        </w:rPr>
        <w:t>Zrušující ustanovení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b/>
          <w:color w:val="000000"/>
          <w:sz w:val="23"/>
          <w:szCs w:val="23"/>
        </w:rPr>
      </w:pPr>
    </w:p>
    <w:p w:rsidR="000339BA" w:rsidRDefault="00000000" w:rsidP="00503797">
      <w:pPr>
        <w:pBdr>
          <w:top w:val="nil"/>
          <w:left w:val="nil"/>
          <w:bottom w:val="nil"/>
          <w:right w:val="nil"/>
          <w:between w:val="nil"/>
        </w:pBdr>
        <w:spacing w:before="1"/>
        <w:ind w:left="1276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 xml:space="preserve">Zrušuje se nařízení města č. </w:t>
      </w:r>
      <w:r w:rsidR="00503797">
        <w:rPr>
          <w:color w:val="2F2F2F"/>
          <w:sz w:val="23"/>
          <w:szCs w:val="23"/>
        </w:rPr>
        <w:t>1</w:t>
      </w:r>
      <w:r>
        <w:rPr>
          <w:color w:val="2F2F2F"/>
          <w:sz w:val="23"/>
          <w:szCs w:val="23"/>
        </w:rPr>
        <w:t>/201</w:t>
      </w:r>
      <w:r w:rsidR="00503797">
        <w:rPr>
          <w:color w:val="2F2F2F"/>
          <w:sz w:val="23"/>
          <w:szCs w:val="23"/>
        </w:rPr>
        <w:t>3</w:t>
      </w:r>
      <w:r>
        <w:rPr>
          <w:color w:val="2F2F2F"/>
          <w:sz w:val="23"/>
          <w:szCs w:val="23"/>
        </w:rPr>
        <w:t>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color w:val="000000"/>
          <w:sz w:val="23"/>
          <w:szCs w:val="23"/>
        </w:rPr>
      </w:pPr>
    </w:p>
    <w:p w:rsidR="000339BA" w:rsidRDefault="00000000">
      <w:pPr>
        <w:ind w:left="981" w:right="1134"/>
        <w:jc w:val="center"/>
        <w:rPr>
          <w:b/>
          <w:sz w:val="23"/>
          <w:szCs w:val="23"/>
        </w:rPr>
      </w:pPr>
      <w:r>
        <w:rPr>
          <w:b/>
          <w:color w:val="2F2F2F"/>
          <w:sz w:val="23"/>
          <w:szCs w:val="23"/>
        </w:rPr>
        <w:t>Čl. VII</w:t>
      </w:r>
    </w:p>
    <w:p w:rsidR="000339BA" w:rsidRDefault="00000000">
      <w:pPr>
        <w:spacing w:before="10"/>
        <w:ind w:left="981" w:right="1148"/>
        <w:jc w:val="center"/>
        <w:rPr>
          <w:b/>
          <w:sz w:val="23"/>
          <w:szCs w:val="23"/>
        </w:rPr>
      </w:pPr>
      <w:r>
        <w:rPr>
          <w:b/>
          <w:color w:val="464646"/>
          <w:sz w:val="23"/>
          <w:szCs w:val="23"/>
        </w:rPr>
        <w:t>Účinnost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3"/>
          <w:szCs w:val="23"/>
        </w:rPr>
      </w:pPr>
    </w:p>
    <w:p w:rsidR="000339BA" w:rsidRDefault="00000000" w:rsidP="00503797">
      <w:pPr>
        <w:pBdr>
          <w:top w:val="nil"/>
          <w:left w:val="nil"/>
          <w:bottom w:val="nil"/>
          <w:right w:val="nil"/>
          <w:between w:val="nil"/>
        </w:pBdr>
        <w:ind w:left="1276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>Toto nařízení nabývá účinnosti dnem jeho vyhlášení.</w:t>
      </w: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0339BA" w:rsidRDefault="000339BA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00000"/>
          <w:sz w:val="23"/>
          <w:szCs w:val="23"/>
        </w:rPr>
      </w:pPr>
    </w:p>
    <w:p w:rsidR="000339BA" w:rsidRDefault="000339BA">
      <w:pPr>
        <w:tabs>
          <w:tab w:val="left" w:pos="1557"/>
        </w:tabs>
        <w:spacing w:before="1" w:line="523" w:lineRule="auto"/>
        <w:ind w:left="648"/>
        <w:rPr>
          <w:sz w:val="47"/>
          <w:szCs w:val="47"/>
        </w:rPr>
      </w:pPr>
    </w:p>
    <w:p w:rsidR="000339BA" w:rsidRDefault="00000000">
      <w:pPr>
        <w:pBdr>
          <w:top w:val="nil"/>
          <w:left w:val="nil"/>
          <w:bottom w:val="nil"/>
          <w:right w:val="nil"/>
          <w:between w:val="nil"/>
        </w:pBdr>
        <w:spacing w:line="248" w:lineRule="auto"/>
        <w:ind w:left="994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>Romana Ouředníková</w:t>
      </w:r>
      <w:r w:rsidR="00A81A54">
        <w:rPr>
          <w:color w:val="2F2F2F"/>
          <w:sz w:val="23"/>
          <w:szCs w:val="23"/>
        </w:rPr>
        <w:t>, v. r.</w:t>
      </w:r>
      <w:r>
        <w:rPr>
          <w:color w:val="2F2F2F"/>
          <w:sz w:val="23"/>
          <w:szCs w:val="23"/>
        </w:rPr>
        <w:t xml:space="preserve">                                                              JUDr. Jindřich Hanzlíček</w:t>
      </w:r>
      <w:r w:rsidR="00A81A54">
        <w:rPr>
          <w:color w:val="2F2F2F"/>
          <w:sz w:val="23"/>
          <w:szCs w:val="23"/>
        </w:rPr>
        <w:t>, v. r.</w:t>
      </w:r>
    </w:p>
    <w:p w:rsidR="000339BA" w:rsidRPr="00A81A54" w:rsidRDefault="00A81A54" w:rsidP="00A81A5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  <w:r>
        <w:rPr>
          <w:color w:val="2F2F2F"/>
          <w:sz w:val="23"/>
          <w:szCs w:val="23"/>
        </w:rPr>
        <w:t xml:space="preserve">                  1.</w:t>
      </w:r>
      <w:r w:rsidR="00000000" w:rsidRPr="00A81A54">
        <w:rPr>
          <w:color w:val="2F2F2F"/>
          <w:sz w:val="23"/>
          <w:szCs w:val="23"/>
        </w:rPr>
        <w:t>místostarost</w:t>
      </w:r>
      <w:r>
        <w:rPr>
          <w:color w:val="2F2F2F"/>
          <w:sz w:val="23"/>
          <w:szCs w:val="23"/>
        </w:rPr>
        <w:t>ka</w:t>
      </w:r>
      <w:r w:rsidR="00000000" w:rsidRPr="00A81A54">
        <w:rPr>
          <w:color w:val="2F2F2F"/>
          <w:sz w:val="23"/>
          <w:szCs w:val="23"/>
        </w:rPr>
        <w:t xml:space="preserve">                                                                               starosta</w:t>
      </w:r>
    </w:p>
    <w:p w:rsidR="000339BA" w:rsidRDefault="000339BA" w:rsidP="00503797">
      <w:pPr>
        <w:tabs>
          <w:tab w:val="left" w:pos="1080"/>
        </w:tabs>
        <w:spacing w:before="25" w:line="222" w:lineRule="auto"/>
        <w:rPr>
          <w:sz w:val="16"/>
          <w:szCs w:val="16"/>
        </w:rPr>
      </w:pPr>
    </w:p>
    <w:sectPr w:rsidR="000339BA">
      <w:pgSz w:w="11910" w:h="16840"/>
      <w:pgMar w:top="240" w:right="24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4E8E"/>
    <w:multiLevelType w:val="multilevel"/>
    <w:tmpl w:val="C3B212A0"/>
    <w:lvl w:ilvl="0">
      <w:start w:val="1"/>
      <w:numFmt w:val="decimal"/>
      <w:lvlText w:val="%1."/>
      <w:lvlJc w:val="left"/>
      <w:pPr>
        <w:ind w:left="1232" w:hanging="241"/>
      </w:pPr>
      <w:rPr>
        <w:rFonts w:ascii="Times New Roman" w:eastAsia="Times New Roman" w:hAnsi="Times New Roman" w:cs="Times New Roman"/>
        <w:b/>
        <w:i w:val="0"/>
        <w:color w:val="2D2D2D"/>
        <w:sz w:val="23"/>
        <w:szCs w:val="23"/>
      </w:rPr>
    </w:lvl>
    <w:lvl w:ilvl="1">
      <w:numFmt w:val="bullet"/>
      <w:lvlText w:val="•"/>
      <w:lvlJc w:val="left"/>
      <w:pPr>
        <w:ind w:left="2240" w:hanging="241"/>
      </w:pPr>
    </w:lvl>
    <w:lvl w:ilvl="2">
      <w:numFmt w:val="bullet"/>
      <w:lvlText w:val="•"/>
      <w:lvlJc w:val="left"/>
      <w:pPr>
        <w:ind w:left="3240" w:hanging="241"/>
      </w:pPr>
    </w:lvl>
    <w:lvl w:ilvl="3">
      <w:numFmt w:val="bullet"/>
      <w:lvlText w:val="•"/>
      <w:lvlJc w:val="left"/>
      <w:pPr>
        <w:ind w:left="4241" w:hanging="241"/>
      </w:pPr>
    </w:lvl>
    <w:lvl w:ilvl="4">
      <w:numFmt w:val="bullet"/>
      <w:lvlText w:val="•"/>
      <w:lvlJc w:val="left"/>
      <w:pPr>
        <w:ind w:left="5241" w:hanging="241"/>
      </w:pPr>
    </w:lvl>
    <w:lvl w:ilvl="5">
      <w:numFmt w:val="bullet"/>
      <w:lvlText w:val="•"/>
      <w:lvlJc w:val="left"/>
      <w:pPr>
        <w:ind w:left="6242" w:hanging="241"/>
      </w:pPr>
    </w:lvl>
    <w:lvl w:ilvl="6">
      <w:numFmt w:val="bullet"/>
      <w:lvlText w:val="•"/>
      <w:lvlJc w:val="left"/>
      <w:pPr>
        <w:ind w:left="7242" w:hanging="241"/>
      </w:pPr>
    </w:lvl>
    <w:lvl w:ilvl="7">
      <w:numFmt w:val="bullet"/>
      <w:lvlText w:val="•"/>
      <w:lvlJc w:val="left"/>
      <w:pPr>
        <w:ind w:left="8242" w:hanging="241"/>
      </w:pPr>
    </w:lvl>
    <w:lvl w:ilvl="8">
      <w:numFmt w:val="bullet"/>
      <w:lvlText w:val="•"/>
      <w:lvlJc w:val="left"/>
      <w:pPr>
        <w:ind w:left="9243" w:hanging="241"/>
      </w:pPr>
    </w:lvl>
  </w:abstractNum>
  <w:abstractNum w:abstractNumId="1" w15:restartNumberingAfterBreak="0">
    <w:nsid w:val="2E122BF9"/>
    <w:multiLevelType w:val="hybridMultilevel"/>
    <w:tmpl w:val="7E945DC4"/>
    <w:lvl w:ilvl="0" w:tplc="E49E18F2">
      <w:start w:val="1"/>
      <w:numFmt w:val="decimal"/>
      <w:lvlText w:val="%1."/>
      <w:lvlJc w:val="left"/>
      <w:pPr>
        <w:ind w:left="1351" w:hanging="360"/>
      </w:pPr>
      <w:rPr>
        <w:rFonts w:hint="default"/>
        <w:color w:val="2F2F2F"/>
      </w:rPr>
    </w:lvl>
    <w:lvl w:ilvl="1" w:tplc="04050019" w:tentative="1">
      <w:start w:val="1"/>
      <w:numFmt w:val="lowerLetter"/>
      <w:lvlText w:val="%2."/>
      <w:lvlJc w:val="left"/>
      <w:pPr>
        <w:ind w:left="2071" w:hanging="360"/>
      </w:pPr>
    </w:lvl>
    <w:lvl w:ilvl="2" w:tplc="0405001B" w:tentative="1">
      <w:start w:val="1"/>
      <w:numFmt w:val="lowerRoman"/>
      <w:lvlText w:val="%3."/>
      <w:lvlJc w:val="right"/>
      <w:pPr>
        <w:ind w:left="2791" w:hanging="180"/>
      </w:pPr>
    </w:lvl>
    <w:lvl w:ilvl="3" w:tplc="0405000F" w:tentative="1">
      <w:start w:val="1"/>
      <w:numFmt w:val="decimal"/>
      <w:lvlText w:val="%4."/>
      <w:lvlJc w:val="left"/>
      <w:pPr>
        <w:ind w:left="3511" w:hanging="360"/>
      </w:pPr>
    </w:lvl>
    <w:lvl w:ilvl="4" w:tplc="04050019" w:tentative="1">
      <w:start w:val="1"/>
      <w:numFmt w:val="lowerLetter"/>
      <w:lvlText w:val="%5."/>
      <w:lvlJc w:val="left"/>
      <w:pPr>
        <w:ind w:left="4231" w:hanging="360"/>
      </w:pPr>
    </w:lvl>
    <w:lvl w:ilvl="5" w:tplc="0405001B" w:tentative="1">
      <w:start w:val="1"/>
      <w:numFmt w:val="lowerRoman"/>
      <w:lvlText w:val="%6."/>
      <w:lvlJc w:val="right"/>
      <w:pPr>
        <w:ind w:left="4951" w:hanging="180"/>
      </w:pPr>
    </w:lvl>
    <w:lvl w:ilvl="6" w:tplc="0405000F" w:tentative="1">
      <w:start w:val="1"/>
      <w:numFmt w:val="decimal"/>
      <w:lvlText w:val="%7."/>
      <w:lvlJc w:val="left"/>
      <w:pPr>
        <w:ind w:left="5671" w:hanging="360"/>
      </w:pPr>
    </w:lvl>
    <w:lvl w:ilvl="7" w:tplc="04050019" w:tentative="1">
      <w:start w:val="1"/>
      <w:numFmt w:val="lowerLetter"/>
      <w:lvlText w:val="%8."/>
      <w:lvlJc w:val="left"/>
      <w:pPr>
        <w:ind w:left="6391" w:hanging="360"/>
      </w:pPr>
    </w:lvl>
    <w:lvl w:ilvl="8" w:tplc="040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70A94F64"/>
    <w:multiLevelType w:val="multilevel"/>
    <w:tmpl w:val="F3E2BB3E"/>
    <w:lvl w:ilvl="0">
      <w:start w:val="1"/>
      <w:numFmt w:val="decimal"/>
      <w:lvlText w:val="%1."/>
      <w:lvlJc w:val="left"/>
      <w:pPr>
        <w:ind w:left="1249" w:hanging="240"/>
      </w:pPr>
      <w:rPr>
        <w:rFonts w:ascii="Times New Roman" w:eastAsia="Times New Roman" w:hAnsi="Times New Roman" w:cs="Times New Roman"/>
        <w:b w:val="0"/>
        <w:i w:val="0"/>
        <w:color w:val="2F2F2F"/>
        <w:sz w:val="23"/>
        <w:szCs w:val="23"/>
      </w:rPr>
    </w:lvl>
    <w:lvl w:ilvl="1">
      <w:numFmt w:val="bullet"/>
      <w:lvlText w:val="•"/>
      <w:lvlJc w:val="left"/>
      <w:pPr>
        <w:ind w:left="2240" w:hanging="240"/>
      </w:pPr>
    </w:lvl>
    <w:lvl w:ilvl="2">
      <w:numFmt w:val="bullet"/>
      <w:lvlText w:val="•"/>
      <w:lvlJc w:val="left"/>
      <w:pPr>
        <w:ind w:left="3240" w:hanging="240"/>
      </w:pPr>
    </w:lvl>
    <w:lvl w:ilvl="3">
      <w:numFmt w:val="bullet"/>
      <w:lvlText w:val="•"/>
      <w:lvlJc w:val="left"/>
      <w:pPr>
        <w:ind w:left="4241" w:hanging="240"/>
      </w:pPr>
    </w:lvl>
    <w:lvl w:ilvl="4">
      <w:numFmt w:val="bullet"/>
      <w:lvlText w:val="•"/>
      <w:lvlJc w:val="left"/>
      <w:pPr>
        <w:ind w:left="5241" w:hanging="240"/>
      </w:pPr>
    </w:lvl>
    <w:lvl w:ilvl="5">
      <w:numFmt w:val="bullet"/>
      <w:lvlText w:val="•"/>
      <w:lvlJc w:val="left"/>
      <w:pPr>
        <w:ind w:left="6242" w:hanging="240"/>
      </w:pPr>
    </w:lvl>
    <w:lvl w:ilvl="6">
      <w:numFmt w:val="bullet"/>
      <w:lvlText w:val="•"/>
      <w:lvlJc w:val="left"/>
      <w:pPr>
        <w:ind w:left="7242" w:hanging="240"/>
      </w:pPr>
    </w:lvl>
    <w:lvl w:ilvl="7">
      <w:numFmt w:val="bullet"/>
      <w:lvlText w:val="•"/>
      <w:lvlJc w:val="left"/>
      <w:pPr>
        <w:ind w:left="8242" w:hanging="240"/>
      </w:pPr>
    </w:lvl>
    <w:lvl w:ilvl="8">
      <w:numFmt w:val="bullet"/>
      <w:lvlText w:val="•"/>
      <w:lvlJc w:val="left"/>
      <w:pPr>
        <w:ind w:left="9243" w:hanging="240"/>
      </w:pPr>
    </w:lvl>
  </w:abstractNum>
  <w:num w:numId="1" w16cid:durableId="772163372">
    <w:abstractNumId w:val="2"/>
  </w:num>
  <w:num w:numId="2" w16cid:durableId="1055936715">
    <w:abstractNumId w:val="0"/>
  </w:num>
  <w:num w:numId="3" w16cid:durableId="31315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A"/>
    <w:rsid w:val="000339BA"/>
    <w:rsid w:val="00493E23"/>
    <w:rsid w:val="00503797"/>
    <w:rsid w:val="006F0F4D"/>
    <w:rsid w:val="008D3CDE"/>
    <w:rsid w:val="00A81A54"/>
    <w:rsid w:val="00A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C570"/>
  <w15:docId w15:val="{2BC9D69F-BD74-4613-9227-F2618F78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981" w:right="1103"/>
      <w:jc w:val="center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"/>
      <w:ind w:left="1035" w:right="1103"/>
      <w:jc w:val="center"/>
    </w:pPr>
    <w:rPr>
      <w:b/>
      <w:bCs/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27" w:hanging="239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dBHWd71yutr6BgkaisrNmvCGQ==">CgMxLjAyDmguNng5dTFxOXZuM3h0OAByITFCU2d4RjFyYTkyb0N5d0JkektxNlJDRjRKU3pZQnFLaw==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Lhotková</dc:creator>
  <cp:lastModifiedBy>Martin Telecký</cp:lastModifiedBy>
  <cp:revision>24</cp:revision>
  <dcterms:created xsi:type="dcterms:W3CDTF">2024-06-13T12:20:00Z</dcterms:created>
  <dcterms:modified xsi:type="dcterms:W3CDTF">2024-06-14T07:54:00Z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2019-10-30T00:00:00Z</vt:lpwstr>
  </property>
  <property fmtid="{D5CDD505-2E9C-101B-9397-08002B2CF9AE}" pid="3" name="Creator">
    <vt:lpwstr>KM_C250i</vt:lpwstr>
  </property>
  <property fmtid="{D5CDD505-2E9C-101B-9397-08002B2CF9AE}" pid="4" name="LastSaved">
    <vt:lpwstr>2024-06-13T00:00:00Z</vt:lpwstr>
  </property>
  <property fmtid="{D5CDD505-2E9C-101B-9397-08002B2CF9AE}" pid="5" name="Producer">
    <vt:lpwstr>KONICA MINOLTA bizhub C250i</vt:lpwstr>
  </property>
</Properties>
</file>