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02" w:rsidRDefault="00393902" w:rsidP="0080562D">
      <w:bookmarkStart w:id="0" w:name="_GoBack"/>
      <w:bookmarkEnd w:id="0"/>
      <w:r>
        <w:t xml:space="preserve">                                                                                          </w:t>
      </w:r>
    </w:p>
    <w:p w:rsidR="00BD554C" w:rsidRDefault="00BD554C" w:rsidP="0080562D"/>
    <w:p w:rsidR="00BD554C" w:rsidRDefault="00BD554C" w:rsidP="0080562D"/>
    <w:p w:rsidR="00393902" w:rsidRDefault="00393902" w:rsidP="0080562D"/>
    <w:p w:rsidR="00393902" w:rsidRDefault="00393902" w:rsidP="0080562D"/>
    <w:p w:rsidR="0080562D" w:rsidRDefault="0080562D" w:rsidP="0080562D">
      <w:pPr>
        <w:pStyle w:val="Zkladntext"/>
        <w:jc w:val="center"/>
        <w:rPr>
          <w:b/>
          <w:szCs w:val="24"/>
        </w:rPr>
      </w:pPr>
      <w:r w:rsidRPr="00CD261B">
        <w:rPr>
          <w:b/>
          <w:szCs w:val="24"/>
        </w:rPr>
        <w:t>MĚSTO CHEB</w:t>
      </w:r>
    </w:p>
    <w:p w:rsidR="00BD554C" w:rsidRDefault="00BD554C" w:rsidP="0080562D">
      <w:pPr>
        <w:pStyle w:val="Zkladntext"/>
        <w:jc w:val="center"/>
        <w:rPr>
          <w:b/>
          <w:szCs w:val="24"/>
        </w:rPr>
      </w:pPr>
    </w:p>
    <w:p w:rsidR="00E44E1A" w:rsidRDefault="00E44E1A" w:rsidP="0080562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Zastupitelstvo města Cheb</w:t>
      </w:r>
    </w:p>
    <w:p w:rsidR="00C01312" w:rsidRPr="00CD261B" w:rsidRDefault="00C01312" w:rsidP="0080562D">
      <w:pPr>
        <w:pStyle w:val="Zkladntext"/>
        <w:jc w:val="center"/>
        <w:rPr>
          <w:b/>
          <w:szCs w:val="24"/>
        </w:rPr>
      </w:pPr>
    </w:p>
    <w:p w:rsidR="0080562D" w:rsidRPr="00CD261B" w:rsidRDefault="0080562D" w:rsidP="0080562D">
      <w:pPr>
        <w:pStyle w:val="Zkladntext"/>
        <w:jc w:val="center"/>
        <w:rPr>
          <w:b/>
          <w:szCs w:val="24"/>
        </w:rPr>
      </w:pPr>
      <w:r w:rsidRPr="00CD261B">
        <w:rPr>
          <w:b/>
          <w:szCs w:val="24"/>
        </w:rPr>
        <w:t xml:space="preserve">O B E C N Ě </w:t>
      </w:r>
      <w:r w:rsidR="001341A8">
        <w:rPr>
          <w:b/>
          <w:szCs w:val="24"/>
        </w:rPr>
        <w:t xml:space="preserve"> </w:t>
      </w:r>
      <w:r w:rsidRPr="00CD261B">
        <w:rPr>
          <w:b/>
          <w:szCs w:val="24"/>
        </w:rPr>
        <w:t xml:space="preserve">  Z Á V A Z N Á </w:t>
      </w:r>
      <w:r w:rsidR="001341A8">
        <w:rPr>
          <w:b/>
          <w:szCs w:val="24"/>
        </w:rPr>
        <w:t xml:space="preserve"> </w:t>
      </w:r>
      <w:r w:rsidRPr="00CD261B">
        <w:rPr>
          <w:b/>
          <w:szCs w:val="24"/>
        </w:rPr>
        <w:t xml:space="preserve">  V Y H L Á Š K A</w:t>
      </w:r>
    </w:p>
    <w:p w:rsidR="0080562D" w:rsidRDefault="00C84B95" w:rsidP="0080562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2</w:t>
      </w:r>
      <w:r w:rsidR="006873F0">
        <w:rPr>
          <w:b/>
          <w:szCs w:val="24"/>
        </w:rPr>
        <w:t>/202</w:t>
      </w:r>
      <w:r w:rsidR="00B56451">
        <w:rPr>
          <w:b/>
          <w:szCs w:val="24"/>
        </w:rPr>
        <w:t>4</w:t>
      </w:r>
    </w:p>
    <w:p w:rsidR="00173B0D" w:rsidRPr="00CD261B" w:rsidRDefault="00173B0D" w:rsidP="0080562D">
      <w:pPr>
        <w:pStyle w:val="Zkladntext"/>
        <w:jc w:val="center"/>
        <w:rPr>
          <w:b/>
          <w:szCs w:val="24"/>
        </w:rPr>
      </w:pPr>
    </w:p>
    <w:p w:rsidR="0080562D" w:rsidRPr="00C01312" w:rsidRDefault="0080562D" w:rsidP="00E44E1A">
      <w:pPr>
        <w:pStyle w:val="Zkladntext"/>
        <w:jc w:val="center"/>
        <w:rPr>
          <w:i/>
          <w:iCs/>
          <w:caps/>
          <w:szCs w:val="24"/>
        </w:rPr>
      </w:pPr>
      <w:r w:rsidRPr="00C01312">
        <w:rPr>
          <w:i/>
          <w:iCs/>
          <w:caps/>
          <w:szCs w:val="24"/>
        </w:rPr>
        <w:t>kterou se mění obecně závazná vyhláška č.</w:t>
      </w:r>
      <w:r w:rsidR="00F14D29">
        <w:rPr>
          <w:i/>
          <w:iCs/>
          <w:caps/>
          <w:szCs w:val="24"/>
        </w:rPr>
        <w:t>10/2018</w:t>
      </w:r>
      <w:r w:rsidRPr="00C01312">
        <w:rPr>
          <w:i/>
          <w:iCs/>
          <w:caps/>
          <w:szCs w:val="24"/>
        </w:rPr>
        <w:t xml:space="preserve"> o </w:t>
      </w:r>
      <w:r w:rsidR="00F14D29">
        <w:rPr>
          <w:i/>
          <w:iCs/>
          <w:caps/>
          <w:szCs w:val="24"/>
        </w:rPr>
        <w:t>REGULACI PROVOZOVÁNÍ HAZARDNÍCH HER</w:t>
      </w:r>
    </w:p>
    <w:p w:rsidR="00E44E1A" w:rsidRDefault="00E44E1A" w:rsidP="00E44E1A">
      <w:pPr>
        <w:pStyle w:val="Zkladntext"/>
        <w:jc w:val="center"/>
      </w:pPr>
    </w:p>
    <w:p w:rsidR="00F16451" w:rsidRDefault="00F16451" w:rsidP="00E44E1A">
      <w:pPr>
        <w:pStyle w:val="Zkladntext"/>
        <w:jc w:val="center"/>
      </w:pPr>
    </w:p>
    <w:p w:rsidR="00BD554C" w:rsidRPr="00656CA2" w:rsidRDefault="00BD554C" w:rsidP="00E44E1A">
      <w:pPr>
        <w:pStyle w:val="Zkladntext"/>
        <w:jc w:val="center"/>
      </w:pPr>
    </w:p>
    <w:p w:rsidR="0080562D" w:rsidRPr="00C01312" w:rsidRDefault="0080562D" w:rsidP="0080562D">
      <w:pPr>
        <w:jc w:val="both"/>
        <w:rPr>
          <w:b/>
          <w:bCs/>
          <w:sz w:val="24"/>
          <w:szCs w:val="24"/>
        </w:rPr>
      </w:pPr>
      <w:r w:rsidRPr="00C01312">
        <w:rPr>
          <w:b/>
          <w:bCs/>
          <w:sz w:val="24"/>
          <w:szCs w:val="24"/>
        </w:rPr>
        <w:t>Zastupitelstvo města Chebu se</w:t>
      </w:r>
      <w:r w:rsidR="00E44E1A" w:rsidRPr="00C01312">
        <w:rPr>
          <w:b/>
          <w:bCs/>
          <w:sz w:val="24"/>
          <w:szCs w:val="24"/>
        </w:rPr>
        <w:t xml:space="preserve"> usnesením č. </w:t>
      </w:r>
      <w:r w:rsidR="00C84B95">
        <w:rPr>
          <w:b/>
          <w:bCs/>
          <w:sz w:val="24"/>
          <w:szCs w:val="24"/>
        </w:rPr>
        <w:t>34/15/</w:t>
      </w:r>
      <w:r w:rsidR="00E44E1A" w:rsidRPr="00C01312">
        <w:rPr>
          <w:b/>
          <w:bCs/>
          <w:sz w:val="24"/>
          <w:szCs w:val="24"/>
        </w:rPr>
        <w:t>202</w:t>
      </w:r>
      <w:r w:rsidR="00B56451">
        <w:rPr>
          <w:b/>
          <w:bCs/>
          <w:sz w:val="24"/>
          <w:szCs w:val="24"/>
        </w:rPr>
        <w:t>4</w:t>
      </w:r>
      <w:r w:rsidRPr="00C01312">
        <w:rPr>
          <w:b/>
          <w:bCs/>
          <w:sz w:val="24"/>
          <w:szCs w:val="24"/>
        </w:rPr>
        <w:t xml:space="preserve"> na svém zasedání dne </w:t>
      </w:r>
      <w:r w:rsidR="008C4A8B">
        <w:rPr>
          <w:b/>
          <w:bCs/>
          <w:sz w:val="24"/>
          <w:szCs w:val="24"/>
        </w:rPr>
        <w:t>14.03.</w:t>
      </w:r>
      <w:r w:rsidR="00716C8D">
        <w:rPr>
          <w:b/>
          <w:bCs/>
          <w:sz w:val="24"/>
          <w:szCs w:val="24"/>
        </w:rPr>
        <w:t>2024</w:t>
      </w:r>
      <w:r w:rsidR="00E44E1A" w:rsidRPr="00C01312">
        <w:rPr>
          <w:b/>
          <w:bCs/>
          <w:sz w:val="24"/>
          <w:szCs w:val="24"/>
        </w:rPr>
        <w:t xml:space="preserve"> </w:t>
      </w:r>
      <w:r w:rsidRPr="00C01312">
        <w:rPr>
          <w:b/>
          <w:bCs/>
          <w:sz w:val="24"/>
          <w:szCs w:val="24"/>
        </w:rPr>
        <w:t>usneslo vydat na základě ustanovení § 1</w:t>
      </w:r>
      <w:r w:rsidR="00017D81">
        <w:rPr>
          <w:b/>
          <w:bCs/>
          <w:sz w:val="24"/>
          <w:szCs w:val="24"/>
        </w:rPr>
        <w:t>2 odst. 1</w:t>
      </w:r>
      <w:r w:rsidRPr="00C01312">
        <w:rPr>
          <w:b/>
          <w:bCs/>
          <w:sz w:val="24"/>
          <w:szCs w:val="24"/>
        </w:rPr>
        <w:t xml:space="preserve"> zákona č. </w:t>
      </w:r>
      <w:r w:rsidR="00017D81">
        <w:rPr>
          <w:b/>
          <w:bCs/>
          <w:sz w:val="24"/>
          <w:szCs w:val="24"/>
        </w:rPr>
        <w:t>186/2016</w:t>
      </w:r>
      <w:r w:rsidRPr="00C01312">
        <w:rPr>
          <w:b/>
          <w:bCs/>
          <w:sz w:val="24"/>
          <w:szCs w:val="24"/>
        </w:rPr>
        <w:t xml:space="preserve"> Sb., o </w:t>
      </w:r>
      <w:r w:rsidR="00017D81">
        <w:rPr>
          <w:b/>
          <w:bCs/>
          <w:sz w:val="24"/>
          <w:szCs w:val="24"/>
        </w:rPr>
        <w:t>hazardních hrách</w:t>
      </w:r>
      <w:r w:rsidRPr="00C01312">
        <w:rPr>
          <w:b/>
          <w:bCs/>
          <w:sz w:val="24"/>
          <w:szCs w:val="24"/>
        </w:rPr>
        <w:t xml:space="preserve">, ve znění pozdějších předpisů, a v souladu s ustanovením § 10 písm. </w:t>
      </w:r>
      <w:r w:rsidR="00017D81">
        <w:rPr>
          <w:b/>
          <w:bCs/>
          <w:sz w:val="24"/>
          <w:szCs w:val="24"/>
        </w:rPr>
        <w:t>a</w:t>
      </w:r>
      <w:r w:rsidRPr="00C01312">
        <w:rPr>
          <w:b/>
          <w:bCs/>
          <w:sz w:val="24"/>
          <w:szCs w:val="24"/>
        </w:rPr>
        <w:t>) a § 84 odst. 2 písm. h) zákona č. 128/2000 Sb., o obcích (obecní zřízení)</w:t>
      </w:r>
      <w:r w:rsidR="005B5A7F">
        <w:rPr>
          <w:b/>
          <w:bCs/>
          <w:sz w:val="24"/>
          <w:szCs w:val="24"/>
        </w:rPr>
        <w:t>,</w:t>
      </w:r>
      <w:r w:rsidRPr="00C01312">
        <w:rPr>
          <w:b/>
          <w:bCs/>
          <w:sz w:val="24"/>
          <w:szCs w:val="24"/>
        </w:rPr>
        <w:t xml:space="preserve"> ve znění pozdějších předpisů,  tuto </w:t>
      </w:r>
      <w:r w:rsidR="00E44E1A" w:rsidRPr="00C01312">
        <w:rPr>
          <w:b/>
          <w:bCs/>
          <w:sz w:val="24"/>
          <w:szCs w:val="24"/>
        </w:rPr>
        <w:t>o</w:t>
      </w:r>
      <w:r w:rsidRPr="00C01312">
        <w:rPr>
          <w:b/>
          <w:bCs/>
          <w:sz w:val="24"/>
          <w:szCs w:val="24"/>
        </w:rPr>
        <w:t>becně závaznou vyhlášku města Chebu:</w:t>
      </w:r>
    </w:p>
    <w:p w:rsidR="00716C8D" w:rsidRPr="00C01312" w:rsidRDefault="00716C8D" w:rsidP="0080562D">
      <w:pPr>
        <w:rPr>
          <w:sz w:val="24"/>
          <w:szCs w:val="24"/>
        </w:rPr>
      </w:pPr>
    </w:p>
    <w:p w:rsidR="00BD554C" w:rsidRDefault="00BD554C" w:rsidP="0080562D">
      <w:pPr>
        <w:jc w:val="center"/>
        <w:rPr>
          <w:sz w:val="24"/>
          <w:szCs w:val="24"/>
        </w:rPr>
      </w:pPr>
    </w:p>
    <w:p w:rsidR="00173B0D" w:rsidRDefault="00173B0D" w:rsidP="0080562D">
      <w:pPr>
        <w:jc w:val="center"/>
        <w:rPr>
          <w:sz w:val="24"/>
          <w:szCs w:val="24"/>
        </w:rPr>
      </w:pPr>
    </w:p>
    <w:p w:rsidR="00BD554C" w:rsidRDefault="00BD554C" w:rsidP="0080562D">
      <w:pPr>
        <w:jc w:val="center"/>
        <w:rPr>
          <w:sz w:val="24"/>
          <w:szCs w:val="24"/>
        </w:rPr>
      </w:pPr>
    </w:p>
    <w:p w:rsidR="0080562D" w:rsidRDefault="0080562D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Čl. 1</w:t>
      </w:r>
    </w:p>
    <w:p w:rsidR="00173B0D" w:rsidRPr="00C01312" w:rsidRDefault="00173B0D" w:rsidP="0080562D">
      <w:pPr>
        <w:jc w:val="center"/>
        <w:rPr>
          <w:sz w:val="24"/>
          <w:szCs w:val="24"/>
        </w:rPr>
      </w:pPr>
    </w:p>
    <w:p w:rsidR="0080562D" w:rsidRDefault="0080562D" w:rsidP="0080562D">
      <w:pPr>
        <w:pStyle w:val="Nadpis2"/>
        <w:spacing w:before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01312">
        <w:rPr>
          <w:rFonts w:ascii="Times New Roman" w:hAnsi="Times New Roman" w:cs="Times New Roman"/>
          <w:i w:val="0"/>
          <w:sz w:val="24"/>
          <w:szCs w:val="24"/>
        </w:rPr>
        <w:t>Základní ustanovení</w:t>
      </w:r>
    </w:p>
    <w:p w:rsidR="00173B0D" w:rsidRDefault="00173B0D" w:rsidP="00173B0D"/>
    <w:p w:rsidR="00173B0D" w:rsidRPr="00173B0D" w:rsidRDefault="00173B0D" w:rsidP="00173B0D"/>
    <w:p w:rsidR="00E44E1A" w:rsidRPr="00C01312" w:rsidRDefault="0080562D" w:rsidP="0080562D">
      <w:pPr>
        <w:spacing w:before="120"/>
        <w:rPr>
          <w:sz w:val="24"/>
          <w:szCs w:val="24"/>
        </w:rPr>
      </w:pPr>
      <w:r w:rsidRPr="00C01312">
        <w:rPr>
          <w:sz w:val="24"/>
          <w:szCs w:val="24"/>
        </w:rPr>
        <w:t xml:space="preserve">Obecně závazná vyhláška města Chebu č. </w:t>
      </w:r>
      <w:r w:rsidR="00F14D29">
        <w:rPr>
          <w:sz w:val="24"/>
          <w:szCs w:val="24"/>
        </w:rPr>
        <w:t>10/2018</w:t>
      </w:r>
      <w:r w:rsidRPr="00C01312">
        <w:rPr>
          <w:sz w:val="24"/>
          <w:szCs w:val="24"/>
        </w:rPr>
        <w:t xml:space="preserve"> o </w:t>
      </w:r>
      <w:r w:rsidR="00F14D29">
        <w:rPr>
          <w:sz w:val="24"/>
          <w:szCs w:val="24"/>
        </w:rPr>
        <w:t>regulaci provozování hazardních her se</w:t>
      </w:r>
      <w:r w:rsidRPr="00C01312">
        <w:rPr>
          <w:sz w:val="24"/>
          <w:szCs w:val="24"/>
        </w:rPr>
        <w:t xml:space="preserve"> mění takto: </w:t>
      </w:r>
    </w:p>
    <w:p w:rsidR="00F14D29" w:rsidRDefault="00F14D29" w:rsidP="00F14D29">
      <w:pPr>
        <w:tabs>
          <w:tab w:val="left" w:pos="4395"/>
        </w:tabs>
        <w:rPr>
          <w:sz w:val="24"/>
          <w:szCs w:val="24"/>
        </w:rPr>
      </w:pPr>
    </w:p>
    <w:p w:rsidR="00F14D29" w:rsidRDefault="00F14D29" w:rsidP="00F14D29">
      <w:pPr>
        <w:tabs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Příloha č.1 nově zní:</w:t>
      </w:r>
    </w:p>
    <w:p w:rsidR="00F14D29" w:rsidRDefault="00F14D29" w:rsidP="00F14D29">
      <w:pPr>
        <w:tabs>
          <w:tab w:val="left" w:pos="4395"/>
        </w:tabs>
        <w:rPr>
          <w:sz w:val="24"/>
          <w:szCs w:val="24"/>
        </w:rPr>
      </w:pPr>
    </w:p>
    <w:p w:rsidR="00F14D29" w:rsidRDefault="00F14D29" w:rsidP="00F14D29">
      <w:pPr>
        <w:tabs>
          <w:tab w:val="left" w:pos="4395"/>
        </w:tabs>
        <w:rPr>
          <w:sz w:val="24"/>
          <w:szCs w:val="24"/>
        </w:rPr>
      </w:pPr>
    </w:p>
    <w:p w:rsidR="006D7C50" w:rsidRPr="00C01312" w:rsidRDefault="006D7C50" w:rsidP="00F14D29">
      <w:pPr>
        <w:tabs>
          <w:tab w:val="left" w:pos="4395"/>
        </w:tabs>
        <w:ind w:left="282"/>
        <w:jc w:val="center"/>
        <w:rPr>
          <w:b/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E44E1A">
      <w:pPr>
        <w:rPr>
          <w:sz w:val="24"/>
          <w:szCs w:val="24"/>
        </w:rPr>
      </w:pPr>
    </w:p>
    <w:p w:rsidR="00F14D29" w:rsidRDefault="00F14D29" w:rsidP="00173B0D">
      <w:pPr>
        <w:rPr>
          <w:sz w:val="24"/>
          <w:szCs w:val="24"/>
        </w:rPr>
      </w:pPr>
    </w:p>
    <w:p w:rsidR="00BD554C" w:rsidRDefault="00BD554C" w:rsidP="00E44E1A">
      <w:pPr>
        <w:rPr>
          <w:sz w:val="24"/>
          <w:szCs w:val="24"/>
        </w:rPr>
      </w:pPr>
    </w:p>
    <w:p w:rsidR="00173B0D" w:rsidRDefault="00173B0D" w:rsidP="00173B0D">
      <w:pPr>
        <w:tabs>
          <w:tab w:val="left" w:pos="4395"/>
        </w:tabs>
        <w:rPr>
          <w:sz w:val="24"/>
          <w:szCs w:val="24"/>
        </w:rPr>
      </w:pPr>
      <w:r>
        <w:rPr>
          <w:sz w:val="24"/>
          <w:szCs w:val="24"/>
        </w:rPr>
        <w:t>„Příloha č.1 k obecně závazné vyhlášce města Chebu č.10/2018 o regulaci provozování hazardních her.</w:t>
      </w:r>
    </w:p>
    <w:p w:rsidR="00173B0D" w:rsidRDefault="00173B0D" w:rsidP="00173B0D">
      <w:pPr>
        <w:jc w:val="both"/>
        <w:rPr>
          <w:sz w:val="24"/>
          <w:szCs w:val="24"/>
        </w:rPr>
      </w:pPr>
    </w:p>
    <w:p w:rsidR="00173B0D" w:rsidRDefault="00173B0D" w:rsidP="00173B0D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Místa, na nichž je povoleno provozovat hazardní hry – bingo, technickou hru, živou hru a turnaje malého rozsahu, dle článku 2 vyhlášky:</w:t>
      </w:r>
    </w:p>
    <w:p w:rsidR="00173B0D" w:rsidRDefault="00173B0D" w:rsidP="00173B0D">
      <w:pPr>
        <w:rPr>
          <w:b/>
          <w:sz w:val="24"/>
          <w:szCs w:val="24"/>
        </w:rPr>
      </w:pPr>
    </w:p>
    <w:p w:rsidR="00173B0D" w:rsidRDefault="00173B0D" w:rsidP="00173B0D">
      <w:pPr>
        <w:rPr>
          <w:b/>
          <w:sz w:val="24"/>
          <w:szCs w:val="24"/>
        </w:rPr>
      </w:pPr>
    </w:p>
    <w:p w:rsidR="00173B0D" w:rsidRDefault="00173B0D" w:rsidP="00173B0D">
      <w:pPr>
        <w:rPr>
          <w:sz w:val="24"/>
          <w:szCs w:val="24"/>
        </w:rPr>
      </w:pPr>
      <w:r w:rsidRPr="005A575E">
        <w:rPr>
          <w:b/>
          <w:sz w:val="24"/>
          <w:szCs w:val="24"/>
        </w:rPr>
        <w:t>k. ú. Háje u Chebu</w:t>
      </w:r>
      <w:r w:rsidRPr="005A575E">
        <w:rPr>
          <w:sz w:val="24"/>
          <w:szCs w:val="24"/>
        </w:rPr>
        <w:t xml:space="preserve"> (okres Cheb); 636576 – stavební parcely </w:t>
      </w:r>
    </w:p>
    <w:p w:rsidR="00173B0D" w:rsidRDefault="00173B0D" w:rsidP="00173B0D">
      <w:pPr>
        <w:rPr>
          <w:sz w:val="24"/>
          <w:szCs w:val="24"/>
        </w:rPr>
      </w:pPr>
    </w:p>
    <w:p w:rsidR="00173B0D" w:rsidRDefault="00173B0D" w:rsidP="00173B0D">
      <w:pPr>
        <w:jc w:val="both"/>
        <w:rPr>
          <w:sz w:val="24"/>
          <w:szCs w:val="24"/>
        </w:rPr>
      </w:pPr>
      <w:r>
        <w:rPr>
          <w:sz w:val="24"/>
          <w:szCs w:val="24"/>
        </w:rPr>
        <w:t>st.27, st.29/1, st.29/2, st.29/3, st.29/4, st.29/5, st.29/6, st.29/7, st.29/8, st.29/9, st.29/10, st.29/11, st.34, st.111, st.119, st.137, st.142, st.208/1, st.208/2, st.255, st.279, st.363, st.808, st.813, st.814, st.907, st.908, st.916, st.932, st.940, st.943, st.945, st.955, st.992, st.993, st.994, st.995, st.996, st.997, st.999, st.1000, st.1001, st.1002, st.1003, st.1009, st.1010, st.1011, st.1016, st.1017, st.1018, st.1019, st.1022, st.1028, st.1029, st.1030, st.1031, st.1032, st.1036/1, st.1036/2, st.1036/3, st.1036/4, st.1040, st.1041, st.1048, st.1061, st.1062, st.1063, st.1064, st.1065, st.1065/1, st.1065/2, st.1066, st.1070, st.1071, st.1072, st.1075, st.1080, st.1095, st.1113, st.1142, st.1143, st.1144, st.1145, st.1146, st.1147, st.1148, st.1149, st.1150, st.1151, st.1152, st.1153, st.1154, st.1155, st.1156, st.1157, st.1158, st.1159, st.1160, st.1161, st.1162, st.1163, st.1164, st.1167, st.1168, st.1169, st.1170, st.1171, st.1172, st.1173, st.1174, st.1175, st.1215, st.1216, st.1217, st.1231, st.1232, st.1243, st.1278, st.1279, st.1306, st.1315, st.1316, st.1330, st.1331, st.1337, st.1339, st.1342, st.1343, st.1347, st.1355, st.1364, st.1365, st.1366, st.1394, st.1395, st.1410,</w:t>
      </w:r>
    </w:p>
    <w:p w:rsidR="00173B0D" w:rsidRDefault="00173B0D" w:rsidP="00173B0D">
      <w:pPr>
        <w:rPr>
          <w:b/>
          <w:sz w:val="24"/>
          <w:szCs w:val="24"/>
        </w:rPr>
      </w:pPr>
    </w:p>
    <w:p w:rsidR="00173B0D" w:rsidRDefault="00173B0D" w:rsidP="00173B0D">
      <w:pPr>
        <w:rPr>
          <w:sz w:val="24"/>
          <w:szCs w:val="24"/>
        </w:rPr>
      </w:pPr>
      <w:r w:rsidRPr="005A575E">
        <w:rPr>
          <w:b/>
          <w:sz w:val="24"/>
          <w:szCs w:val="24"/>
        </w:rPr>
        <w:t>k. ú. Háje u Chebu</w:t>
      </w:r>
      <w:r w:rsidRPr="005A575E">
        <w:rPr>
          <w:sz w:val="24"/>
          <w:szCs w:val="24"/>
        </w:rPr>
        <w:t xml:space="preserve"> (okres Cheb); 636576 – pozemkové parcely</w:t>
      </w:r>
    </w:p>
    <w:p w:rsidR="00173B0D" w:rsidRDefault="00173B0D" w:rsidP="00173B0D">
      <w:pPr>
        <w:rPr>
          <w:sz w:val="24"/>
          <w:szCs w:val="24"/>
        </w:rPr>
      </w:pPr>
    </w:p>
    <w:p w:rsidR="00173B0D" w:rsidRDefault="00173B0D" w:rsidP="00173B0D">
      <w:pPr>
        <w:jc w:val="both"/>
        <w:rPr>
          <w:sz w:val="24"/>
          <w:szCs w:val="24"/>
        </w:rPr>
      </w:pPr>
      <w:r>
        <w:rPr>
          <w:sz w:val="24"/>
          <w:szCs w:val="24"/>
        </w:rPr>
        <w:t>469/9, 469/18, 469/30, 469/37, 469/38, 567/2, 569, 571/1, 571/2, 571/3, 571/4, 571/5, 571/6, 571/7, 571/8, 571/11, 571/12, 571/13, 571/14, 571/15, 571/17, 571/18, 571/20, 571/21, 571/35, 577, 579/1, 579/2, 579/4, 579/5, 579/6, 579/7, 581/1, 581/2, 584/1, 584/2, 584/3, 586/1, 589/1, 589/3, 589/4, 589/5, 591, 593, 595, 599/2, 599/3, 600/3, 600/4, 600/5, 600/6, 600/10, 600/11, 600/12, 600/13, 600/14, 609/3, 615/2, 615/3, 615/4, 615/5, 615/6, 615/7, 615/8, 615/10, 615/12, 615/15, 615/16, 615/18, 615/19, 615/20, 615/22, 615/23, 615/24, 615/25, 615/29, 615/30, 615/31, 615/33, 615/38, 615/39, 615/40, 615/41, 615/42, 615/43, 615/44, 615/45, 615/46, 615/47, 615/48, 615/49, 615/50, 615/51, 621/2, 621/3, 671/7, 672/1, 672/6, 672/8, 672/11, 672/12, 672/13, 672/14, 672/15, 672/17, 672/19, 672/22, 672/23, 672/24, 672/25, 672/26, 684/1, 684/2, 685, 686/1, 686/2, 686/3, 687, 688/4, 696/3, 696/5, 696/8, 696/12, 696/15, 696/16, 696/23, 696/26, 696/28, 696/29, 696/30, 696/31, 696/32, 697, 981/2, 984/1, 984/10, 984/11, 984/12, 984/13, 989/1, 989/2, 989/5, 989/8, 989/15, 1010, 1424, 1428, 1429, 1430, 1432, 1434, 1435, 1438, 1439, 1460, 1461, 1463, 1464, 1466, 1467, 1468, 1476, 1487, 1488.</w:t>
      </w:r>
    </w:p>
    <w:p w:rsidR="00173B0D" w:rsidRDefault="00173B0D" w:rsidP="00173B0D"/>
    <w:p w:rsidR="00173B0D" w:rsidRDefault="00173B0D" w:rsidP="00173B0D"/>
    <w:p w:rsidR="00173B0D" w:rsidRDefault="00173B0D" w:rsidP="00173B0D"/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Default="00173B0D" w:rsidP="00173B0D">
      <w:pPr>
        <w:pStyle w:val="Default"/>
        <w:ind w:left="284"/>
        <w:rPr>
          <w:sz w:val="23"/>
          <w:szCs w:val="23"/>
        </w:rPr>
      </w:pPr>
    </w:p>
    <w:p w:rsidR="00173B0D" w:rsidRPr="00173B0D" w:rsidRDefault="00173B0D" w:rsidP="004D0670">
      <w:pPr>
        <w:autoSpaceDE w:val="0"/>
        <w:autoSpaceDN w:val="0"/>
        <w:adjustRightInd w:val="0"/>
        <w:rPr>
          <w:rFonts w:eastAsia="Calibri"/>
          <w:sz w:val="18"/>
          <w:szCs w:val="18"/>
          <w:lang w:eastAsia="en-US"/>
        </w:rPr>
      </w:pPr>
      <w:r w:rsidRPr="00173B0D">
        <w:rPr>
          <w:rFonts w:eastAsia="Calibri"/>
          <w:sz w:val="18"/>
          <w:szCs w:val="18"/>
          <w:lang w:eastAsia="en-US"/>
        </w:rPr>
        <w:t>Příloha č. 1 k obecně závazné vyhlášce města Cheb č. 10/2018 o regulaci provozování hazardních her – grafická část</w:t>
      </w:r>
    </w:p>
    <w:p w:rsidR="00173B0D" w:rsidRPr="00173B0D" w:rsidRDefault="00173B0D" w:rsidP="00173B0D">
      <w:pPr>
        <w:rPr>
          <w:rFonts w:ascii="Times-Roman" w:eastAsia="Calibri" w:hAnsi="Times-Roman" w:cs="Times-Roman"/>
          <w:sz w:val="18"/>
          <w:szCs w:val="18"/>
          <w:lang w:eastAsia="en-US"/>
        </w:rPr>
      </w:pPr>
    </w:p>
    <w:p w:rsidR="00173B0D" w:rsidRDefault="00173B0D" w:rsidP="00173B0D"/>
    <w:p w:rsidR="00173B0D" w:rsidRDefault="00173B0D" w:rsidP="00173B0D">
      <w:r>
        <w:t>směr Cheb</w:t>
      </w:r>
    </w:p>
    <w:p w:rsidR="00173B0D" w:rsidRDefault="00173B0D" w:rsidP="00173B0D">
      <w:r w:rsidRPr="006228F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25" type="#_x0000_t75" style="width:453.75pt;height:609.75pt;visibility:visible">
            <v:imagedata r:id="rId7" o:title=""/>
          </v:shape>
        </w:pict>
      </w:r>
    </w:p>
    <w:p w:rsidR="00173B0D" w:rsidRDefault="00173B0D" w:rsidP="00173B0D">
      <w:pPr>
        <w:ind w:left="7788"/>
      </w:pPr>
      <w:r>
        <w:t>směr SRN</w:t>
      </w:r>
    </w:p>
    <w:p w:rsidR="00BD554C" w:rsidRDefault="00BD554C" w:rsidP="00E44E1A">
      <w:pPr>
        <w:rPr>
          <w:sz w:val="24"/>
          <w:szCs w:val="24"/>
        </w:rPr>
      </w:pPr>
    </w:p>
    <w:p w:rsidR="00BD554C" w:rsidRDefault="00173B0D" w:rsidP="00E44E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„</w:t>
      </w:r>
      <w:r w:rsidR="00BD2F94">
        <w:rPr>
          <w:sz w:val="24"/>
          <w:szCs w:val="24"/>
        </w:rPr>
        <w:t xml:space="preserve"> .</w:t>
      </w:r>
    </w:p>
    <w:p w:rsidR="00BD554C" w:rsidRDefault="00BD554C" w:rsidP="00E44E1A">
      <w:pPr>
        <w:rPr>
          <w:sz w:val="24"/>
          <w:szCs w:val="24"/>
        </w:rPr>
      </w:pPr>
    </w:p>
    <w:p w:rsidR="00BD554C" w:rsidRDefault="00BD554C" w:rsidP="00E44E1A">
      <w:pPr>
        <w:rPr>
          <w:sz w:val="24"/>
          <w:szCs w:val="24"/>
        </w:rPr>
      </w:pPr>
    </w:p>
    <w:p w:rsidR="00BD554C" w:rsidRDefault="00BD554C" w:rsidP="00E44E1A">
      <w:pPr>
        <w:rPr>
          <w:sz w:val="24"/>
          <w:szCs w:val="24"/>
        </w:rPr>
      </w:pPr>
    </w:p>
    <w:p w:rsidR="00F14D29" w:rsidRPr="00C01312" w:rsidRDefault="00F14D29" w:rsidP="00E44E1A">
      <w:pPr>
        <w:rPr>
          <w:sz w:val="24"/>
          <w:szCs w:val="24"/>
        </w:rPr>
      </w:pPr>
    </w:p>
    <w:p w:rsidR="0080562D" w:rsidRPr="00C01312" w:rsidRDefault="0080562D" w:rsidP="0080562D">
      <w:pPr>
        <w:pStyle w:val="Nadpis1"/>
        <w:spacing w:before="120"/>
        <w:jc w:val="center"/>
        <w:rPr>
          <w:szCs w:val="24"/>
        </w:rPr>
      </w:pPr>
      <w:r w:rsidRPr="00C01312">
        <w:rPr>
          <w:szCs w:val="24"/>
        </w:rPr>
        <w:t>Čl. 2</w:t>
      </w:r>
    </w:p>
    <w:p w:rsidR="0080562D" w:rsidRPr="00C01312" w:rsidRDefault="0080562D" w:rsidP="0080562D">
      <w:pPr>
        <w:pStyle w:val="Nadpis2"/>
        <w:spacing w:before="12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C01312">
        <w:rPr>
          <w:rFonts w:ascii="Times New Roman" w:hAnsi="Times New Roman" w:cs="Times New Roman"/>
          <w:i w:val="0"/>
          <w:sz w:val="24"/>
          <w:szCs w:val="24"/>
        </w:rPr>
        <w:t>Účinnost</w:t>
      </w:r>
    </w:p>
    <w:p w:rsidR="0080562D" w:rsidRPr="00C01312" w:rsidRDefault="0080562D" w:rsidP="006D7C50">
      <w:pPr>
        <w:spacing w:before="120"/>
        <w:jc w:val="center"/>
        <w:rPr>
          <w:sz w:val="24"/>
          <w:szCs w:val="24"/>
        </w:rPr>
      </w:pPr>
      <w:r w:rsidRPr="00C01312">
        <w:rPr>
          <w:sz w:val="24"/>
          <w:szCs w:val="24"/>
        </w:rPr>
        <w:t xml:space="preserve">Tato obecně závazná vyhláška nabývá účinnosti  </w:t>
      </w:r>
      <w:r w:rsidR="008C4A8B">
        <w:rPr>
          <w:sz w:val="24"/>
          <w:szCs w:val="24"/>
        </w:rPr>
        <w:t>01.04</w:t>
      </w:r>
      <w:r w:rsidR="006871C0">
        <w:rPr>
          <w:sz w:val="24"/>
          <w:szCs w:val="24"/>
        </w:rPr>
        <w:t>.2024</w:t>
      </w:r>
    </w:p>
    <w:p w:rsidR="006D7C50" w:rsidRPr="00C01312" w:rsidRDefault="006D7C50" w:rsidP="006D7C50">
      <w:pPr>
        <w:spacing w:before="120"/>
        <w:jc w:val="center"/>
        <w:rPr>
          <w:sz w:val="24"/>
          <w:szCs w:val="24"/>
        </w:rPr>
      </w:pPr>
    </w:p>
    <w:p w:rsidR="0080562D" w:rsidRPr="00C01312" w:rsidRDefault="0080562D" w:rsidP="0080562D">
      <w:pPr>
        <w:rPr>
          <w:sz w:val="24"/>
          <w:szCs w:val="24"/>
        </w:rPr>
      </w:pPr>
    </w:p>
    <w:p w:rsidR="0080562D" w:rsidRPr="00C01312" w:rsidRDefault="006D7C50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Ing. Jan Vrba</w:t>
      </w:r>
      <w:r w:rsidR="002F5BC0">
        <w:rPr>
          <w:sz w:val="24"/>
          <w:szCs w:val="24"/>
        </w:rPr>
        <w:t xml:space="preserve"> </w:t>
      </w:r>
      <w:r w:rsidR="00760B45">
        <w:rPr>
          <w:sz w:val="24"/>
          <w:szCs w:val="24"/>
        </w:rPr>
        <w:t>v. r.</w:t>
      </w:r>
    </w:p>
    <w:p w:rsidR="0080562D" w:rsidRDefault="0080562D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starosta města Chebu</w:t>
      </w:r>
    </w:p>
    <w:p w:rsidR="00F16451" w:rsidRPr="00C01312" w:rsidRDefault="00F16451" w:rsidP="0080562D">
      <w:pPr>
        <w:jc w:val="center"/>
        <w:rPr>
          <w:sz w:val="24"/>
          <w:szCs w:val="24"/>
        </w:rPr>
      </w:pPr>
    </w:p>
    <w:p w:rsidR="0080562D" w:rsidRPr="00C01312" w:rsidRDefault="0080562D" w:rsidP="0080562D">
      <w:pPr>
        <w:rPr>
          <w:sz w:val="24"/>
          <w:szCs w:val="24"/>
        </w:rPr>
      </w:pPr>
    </w:p>
    <w:p w:rsidR="0080562D" w:rsidRPr="00C01312" w:rsidRDefault="006D7C50" w:rsidP="0080562D">
      <w:pPr>
        <w:jc w:val="center"/>
        <w:rPr>
          <w:sz w:val="24"/>
          <w:szCs w:val="24"/>
        </w:rPr>
      </w:pPr>
      <w:r w:rsidRPr="00C01312">
        <w:rPr>
          <w:sz w:val="24"/>
          <w:szCs w:val="24"/>
        </w:rPr>
        <w:t>Ing. Michal Pospíšil</w:t>
      </w:r>
      <w:r w:rsidR="00760B45">
        <w:rPr>
          <w:sz w:val="24"/>
          <w:szCs w:val="24"/>
        </w:rPr>
        <w:t xml:space="preserve"> v. r.</w:t>
      </w:r>
    </w:p>
    <w:p w:rsidR="00656CA2" w:rsidRPr="008622FD" w:rsidRDefault="0097673C" w:rsidP="008622FD">
      <w:pPr>
        <w:jc w:val="center"/>
        <w:rPr>
          <w:sz w:val="24"/>
          <w:szCs w:val="24"/>
        </w:rPr>
      </w:pPr>
      <w:r>
        <w:rPr>
          <w:sz w:val="24"/>
          <w:szCs w:val="24"/>
        </w:rPr>
        <w:t>m</w:t>
      </w:r>
      <w:r w:rsidR="0080562D" w:rsidRPr="00C01312">
        <w:rPr>
          <w:sz w:val="24"/>
          <w:szCs w:val="24"/>
        </w:rPr>
        <w:t>ístostarosta</w:t>
      </w:r>
    </w:p>
    <w:p w:rsidR="00656CA2" w:rsidRDefault="00656CA2" w:rsidP="0080562D">
      <w:pPr>
        <w:pStyle w:val="Nadpis5"/>
        <w:tabs>
          <w:tab w:val="center" w:pos="4536"/>
          <w:tab w:val="left" w:pos="6045"/>
        </w:tabs>
        <w:jc w:val="center"/>
        <w:rPr>
          <w:bCs w:val="0"/>
          <w:i w:val="0"/>
          <w:sz w:val="24"/>
          <w:szCs w:val="24"/>
        </w:rPr>
      </w:pPr>
    </w:p>
    <w:p w:rsidR="00F16451" w:rsidRDefault="00F16451" w:rsidP="00F16451"/>
    <w:p w:rsidR="00F16451" w:rsidRDefault="00F16451" w:rsidP="00F16451"/>
    <w:p w:rsidR="00F16451" w:rsidRDefault="00F16451" w:rsidP="00F16451"/>
    <w:p w:rsidR="00F16451" w:rsidRDefault="00F16451" w:rsidP="00F16451"/>
    <w:p w:rsidR="00F16451" w:rsidRPr="00F16451" w:rsidRDefault="00F16451" w:rsidP="00F16451"/>
    <w:p w:rsidR="00716C8D" w:rsidRDefault="00716C8D" w:rsidP="00716C8D">
      <w:pPr>
        <w:rPr>
          <w:sz w:val="22"/>
          <w:szCs w:val="22"/>
        </w:rPr>
      </w:pPr>
      <w:r>
        <w:t xml:space="preserve">Datum vyhlášení ve Sbírce právních předpisů: </w:t>
      </w:r>
      <w:r w:rsidR="00F2524E">
        <w:t>15.03.2024</w:t>
      </w:r>
    </w:p>
    <w:p w:rsidR="00716C8D" w:rsidRDefault="00716C8D" w:rsidP="00716C8D"/>
    <w:p w:rsidR="00716C8D" w:rsidRPr="00716C8D" w:rsidRDefault="00716C8D" w:rsidP="00716C8D">
      <w:r>
        <w:t>Zveřejnění obecně závazné vyhlášky bylo shodně provedeno způsobem umožňujícím dálkový přístup.</w:t>
      </w:r>
    </w:p>
    <w:sectPr w:rsidR="00716C8D" w:rsidRPr="00716C8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E2" w:rsidRDefault="007837E2">
      <w:r>
        <w:separator/>
      </w:r>
    </w:p>
  </w:endnote>
  <w:endnote w:type="continuationSeparator" w:id="0">
    <w:p w:rsidR="007837E2" w:rsidRDefault="0078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1D" w:rsidRDefault="00B9251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9251D" w:rsidRDefault="00B9251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51D" w:rsidRDefault="00B9251D" w:rsidP="00A80A75">
    <w:pPr>
      <w:pStyle w:val="Zpat"/>
      <w:framePr w:wrap="around" w:vAnchor="text" w:hAnchor="page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23B0A">
      <w:rPr>
        <w:rStyle w:val="slostrnky"/>
        <w:noProof/>
      </w:rPr>
      <w:t>2</w:t>
    </w:r>
    <w:r>
      <w:rPr>
        <w:rStyle w:val="slostrnky"/>
      </w:rPr>
      <w:fldChar w:fldCharType="end"/>
    </w:r>
  </w:p>
  <w:p w:rsidR="00B9251D" w:rsidRDefault="00B9251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E2" w:rsidRDefault="007837E2">
      <w:r>
        <w:separator/>
      </w:r>
    </w:p>
  </w:footnote>
  <w:footnote w:type="continuationSeparator" w:id="0">
    <w:p w:rsidR="007837E2" w:rsidRDefault="0078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E96"/>
    <w:multiLevelType w:val="hybridMultilevel"/>
    <w:tmpl w:val="72DAB418"/>
    <w:lvl w:ilvl="0" w:tplc="D5A81FD2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AAE966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3E7A4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4628CB"/>
    <w:multiLevelType w:val="hybridMultilevel"/>
    <w:tmpl w:val="3A4CE97C"/>
    <w:lvl w:ilvl="0" w:tplc="2C0E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82D7C"/>
    <w:multiLevelType w:val="hybridMultilevel"/>
    <w:tmpl w:val="227C3328"/>
    <w:lvl w:ilvl="0" w:tplc="F51E1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D0D6E"/>
    <w:multiLevelType w:val="hybridMultilevel"/>
    <w:tmpl w:val="0FE07E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0D661B"/>
    <w:multiLevelType w:val="hybridMultilevel"/>
    <w:tmpl w:val="EC0AD942"/>
    <w:lvl w:ilvl="0" w:tplc="2C0E9B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E4F91"/>
    <w:multiLevelType w:val="hybridMultilevel"/>
    <w:tmpl w:val="3B7ED914"/>
    <w:lvl w:ilvl="0" w:tplc="72FC9A3E">
      <w:start w:val="1"/>
      <w:numFmt w:val="decimal"/>
      <w:lvlText w:val="(%1)"/>
      <w:lvlJc w:val="left"/>
      <w:pPr>
        <w:ind w:left="517" w:hanging="375"/>
      </w:pPr>
      <w:rPr>
        <w:rFonts w:ascii="Times New Roman" w:hAnsi="Times New Roman" w:cs="Times New Roman" w:hint="default"/>
        <w:i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EB226E4"/>
    <w:multiLevelType w:val="hybridMultilevel"/>
    <w:tmpl w:val="AB624E52"/>
    <w:lvl w:ilvl="0" w:tplc="F48E7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5320"/>
    <w:multiLevelType w:val="hybridMultilevel"/>
    <w:tmpl w:val="4CA0FC6A"/>
    <w:lvl w:ilvl="0" w:tplc="16AAE9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25F1E"/>
    <w:multiLevelType w:val="hybridMultilevel"/>
    <w:tmpl w:val="EE26D23C"/>
    <w:lvl w:ilvl="0" w:tplc="068806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62D"/>
    <w:rsid w:val="00017D81"/>
    <w:rsid w:val="0007454D"/>
    <w:rsid w:val="000927D0"/>
    <w:rsid w:val="000A2B58"/>
    <w:rsid w:val="001002CF"/>
    <w:rsid w:val="001341A8"/>
    <w:rsid w:val="00136C7F"/>
    <w:rsid w:val="00173B0D"/>
    <w:rsid w:val="001B64EC"/>
    <w:rsid w:val="001E5AC5"/>
    <w:rsid w:val="00200954"/>
    <w:rsid w:val="0020693A"/>
    <w:rsid w:val="00227BCE"/>
    <w:rsid w:val="00241C3C"/>
    <w:rsid w:val="00265783"/>
    <w:rsid w:val="0026726B"/>
    <w:rsid w:val="00270961"/>
    <w:rsid w:val="002A2E33"/>
    <w:rsid w:val="002B3A92"/>
    <w:rsid w:val="002E1E06"/>
    <w:rsid w:val="002F5BC0"/>
    <w:rsid w:val="002F7BCB"/>
    <w:rsid w:val="00303E5C"/>
    <w:rsid w:val="003120BC"/>
    <w:rsid w:val="00316493"/>
    <w:rsid w:val="00325A7E"/>
    <w:rsid w:val="0037154F"/>
    <w:rsid w:val="00385E2B"/>
    <w:rsid w:val="00393902"/>
    <w:rsid w:val="003B3382"/>
    <w:rsid w:val="00403159"/>
    <w:rsid w:val="00423B0A"/>
    <w:rsid w:val="00423BF1"/>
    <w:rsid w:val="004D0670"/>
    <w:rsid w:val="004D06D8"/>
    <w:rsid w:val="004E3D41"/>
    <w:rsid w:val="00516719"/>
    <w:rsid w:val="00522E72"/>
    <w:rsid w:val="00534C88"/>
    <w:rsid w:val="0055443E"/>
    <w:rsid w:val="005740BF"/>
    <w:rsid w:val="005B5A7F"/>
    <w:rsid w:val="005B7234"/>
    <w:rsid w:val="005C0EA6"/>
    <w:rsid w:val="00603C38"/>
    <w:rsid w:val="006128E6"/>
    <w:rsid w:val="00656CA2"/>
    <w:rsid w:val="00670CD8"/>
    <w:rsid w:val="006871C0"/>
    <w:rsid w:val="006873F0"/>
    <w:rsid w:val="006A2AB0"/>
    <w:rsid w:val="006C2A1F"/>
    <w:rsid w:val="006C59B8"/>
    <w:rsid w:val="006D0468"/>
    <w:rsid w:val="006D7C50"/>
    <w:rsid w:val="00716C8D"/>
    <w:rsid w:val="00760B45"/>
    <w:rsid w:val="007657D4"/>
    <w:rsid w:val="00773BA4"/>
    <w:rsid w:val="007837E2"/>
    <w:rsid w:val="00785F7F"/>
    <w:rsid w:val="007B02D2"/>
    <w:rsid w:val="007F6A91"/>
    <w:rsid w:val="0080562D"/>
    <w:rsid w:val="008622FD"/>
    <w:rsid w:val="008C4A8B"/>
    <w:rsid w:val="00902D67"/>
    <w:rsid w:val="00921D81"/>
    <w:rsid w:val="00923CCB"/>
    <w:rsid w:val="00966A56"/>
    <w:rsid w:val="0097673C"/>
    <w:rsid w:val="009B0EB7"/>
    <w:rsid w:val="009B5CF1"/>
    <w:rsid w:val="00A04224"/>
    <w:rsid w:val="00A344EE"/>
    <w:rsid w:val="00A6719E"/>
    <w:rsid w:val="00A80A75"/>
    <w:rsid w:val="00AE1878"/>
    <w:rsid w:val="00AF595B"/>
    <w:rsid w:val="00B00CE5"/>
    <w:rsid w:val="00B12387"/>
    <w:rsid w:val="00B24F35"/>
    <w:rsid w:val="00B55242"/>
    <w:rsid w:val="00B554DD"/>
    <w:rsid w:val="00B56451"/>
    <w:rsid w:val="00B9251D"/>
    <w:rsid w:val="00BD2F94"/>
    <w:rsid w:val="00BD554C"/>
    <w:rsid w:val="00C01312"/>
    <w:rsid w:val="00C33EDD"/>
    <w:rsid w:val="00C83DDB"/>
    <w:rsid w:val="00C84B95"/>
    <w:rsid w:val="00C961A6"/>
    <w:rsid w:val="00CC4F77"/>
    <w:rsid w:val="00CC7DAA"/>
    <w:rsid w:val="00CE299A"/>
    <w:rsid w:val="00DC243F"/>
    <w:rsid w:val="00DE7F4A"/>
    <w:rsid w:val="00E44E1A"/>
    <w:rsid w:val="00E51A3F"/>
    <w:rsid w:val="00EF6C41"/>
    <w:rsid w:val="00F14D29"/>
    <w:rsid w:val="00F16451"/>
    <w:rsid w:val="00F2524E"/>
    <w:rsid w:val="00F504E9"/>
    <w:rsid w:val="00F97FAF"/>
    <w:rsid w:val="00FD0494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F23795-E048-4EF8-B243-28982520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562D"/>
  </w:style>
  <w:style w:type="paragraph" w:styleId="Nadpis1">
    <w:name w:val="heading 1"/>
    <w:basedOn w:val="Normln"/>
    <w:next w:val="Normln"/>
    <w:qFormat/>
    <w:rsid w:val="0080562D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056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562D"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80562D"/>
    <w:pPr>
      <w:keepNext/>
      <w:jc w:val="center"/>
      <w:outlineLvl w:val="3"/>
    </w:pPr>
    <w:rPr>
      <w:b/>
      <w:bCs/>
      <w:spacing w:val="20"/>
      <w:sz w:val="24"/>
    </w:rPr>
  </w:style>
  <w:style w:type="paragraph" w:styleId="Nadpis5">
    <w:name w:val="heading 5"/>
    <w:basedOn w:val="Normln"/>
    <w:next w:val="Normln"/>
    <w:qFormat/>
    <w:rsid w:val="008056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0562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0562D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80562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0562D"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rsid w:val="0080562D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rsid w:val="0080562D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rsid w:val="0080562D"/>
    <w:pPr>
      <w:tabs>
        <w:tab w:val="left" w:pos="6521"/>
      </w:tabs>
    </w:pPr>
    <w:rPr>
      <w:sz w:val="22"/>
    </w:rPr>
  </w:style>
  <w:style w:type="paragraph" w:customStyle="1" w:styleId="Dvoddovzprva">
    <w:name w:val="Důvoddová zpráva"/>
    <w:basedOn w:val="Zkladntext"/>
    <w:rsid w:val="0080562D"/>
    <w:pPr>
      <w:spacing w:after="240"/>
    </w:pPr>
    <w:rPr>
      <w:b/>
      <w:bCs/>
      <w:u w:val="single"/>
    </w:rPr>
  </w:style>
  <w:style w:type="paragraph" w:styleId="Zkladntext3">
    <w:name w:val="Body Text 3"/>
    <w:basedOn w:val="Normln"/>
    <w:rsid w:val="0080562D"/>
    <w:pPr>
      <w:spacing w:after="240"/>
      <w:jc w:val="both"/>
    </w:pPr>
    <w:rPr>
      <w:sz w:val="24"/>
    </w:rPr>
  </w:style>
  <w:style w:type="paragraph" w:styleId="Zkladntext2">
    <w:name w:val="Body Text 2"/>
    <w:basedOn w:val="Normln"/>
    <w:rsid w:val="0080562D"/>
    <w:pPr>
      <w:spacing w:after="120" w:line="480" w:lineRule="auto"/>
    </w:pPr>
  </w:style>
  <w:style w:type="paragraph" w:styleId="Zkladntextodsazen">
    <w:name w:val="Body Text Indent"/>
    <w:basedOn w:val="Normln"/>
    <w:rsid w:val="0080562D"/>
    <w:pPr>
      <w:spacing w:after="120"/>
      <w:ind w:left="283"/>
    </w:pPr>
  </w:style>
  <w:style w:type="paragraph" w:styleId="Textvysvtlivek">
    <w:name w:val="endnote text"/>
    <w:basedOn w:val="Normln"/>
    <w:semiHidden/>
    <w:rsid w:val="0080562D"/>
  </w:style>
  <w:style w:type="character" w:styleId="Odkaznavysvtlivky">
    <w:name w:val="endnote reference"/>
    <w:semiHidden/>
    <w:rsid w:val="0080562D"/>
    <w:rPr>
      <w:vertAlign w:val="superscript"/>
    </w:rPr>
  </w:style>
  <w:style w:type="paragraph" w:styleId="Nzev">
    <w:name w:val="Title"/>
    <w:basedOn w:val="Normln"/>
    <w:qFormat/>
    <w:rsid w:val="0080562D"/>
    <w:pPr>
      <w:jc w:val="center"/>
    </w:pPr>
    <w:rPr>
      <w:sz w:val="40"/>
    </w:rPr>
  </w:style>
  <w:style w:type="paragraph" w:styleId="Zpat">
    <w:name w:val="footer"/>
    <w:basedOn w:val="Normln"/>
    <w:rsid w:val="008056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0562D"/>
  </w:style>
  <w:style w:type="character" w:styleId="Hypertextovodkaz">
    <w:name w:val="Hyperlink"/>
    <w:rsid w:val="0080562D"/>
    <w:rPr>
      <w:color w:val="0000FF"/>
      <w:u w:val="single"/>
    </w:rPr>
  </w:style>
  <w:style w:type="paragraph" w:styleId="Zhlav">
    <w:name w:val="header"/>
    <w:basedOn w:val="Normln"/>
    <w:rsid w:val="0080562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A2AB0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D7C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F59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F59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B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Mesto Cheb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rybenska</dc:creator>
  <cp:keywords/>
  <cp:lastModifiedBy>Sýkora Václav, Mgr. MBA</cp:lastModifiedBy>
  <cp:revision>2</cp:revision>
  <cp:lastPrinted>2024-03-15T08:58:00Z</cp:lastPrinted>
  <dcterms:created xsi:type="dcterms:W3CDTF">2024-03-15T10:34:00Z</dcterms:created>
  <dcterms:modified xsi:type="dcterms:W3CDTF">2024-03-15T10:34:00Z</dcterms:modified>
</cp:coreProperties>
</file>