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BF9D" w14:textId="44B89E81" w:rsidR="00480DE3" w:rsidRDefault="00480DE3" w:rsidP="007C72CC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noProof/>
          <w:color w:val="000000"/>
          <w:szCs w:val="24"/>
        </w:rPr>
        <w:drawing>
          <wp:inline distT="0" distB="0" distL="0" distR="0" wp14:anchorId="5A01517E" wp14:editId="1264847D">
            <wp:extent cx="1025638" cy="1188653"/>
            <wp:effectExtent l="0" t="0" r="3175" b="0"/>
            <wp:docPr id="162975814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971" cy="120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350E8" w14:textId="5F72082D" w:rsidR="007C72CC" w:rsidRPr="007C72CC" w:rsidRDefault="007C72CC" w:rsidP="007C72CC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C72CC">
        <w:rPr>
          <w:rFonts w:ascii="Arial" w:hAnsi="Arial" w:cs="Arial"/>
          <w:b/>
          <w:color w:val="000000"/>
          <w:szCs w:val="24"/>
        </w:rPr>
        <w:t>OBEC PONIKLÁ</w:t>
      </w:r>
    </w:p>
    <w:p w14:paraId="1EB3C8CC" w14:textId="77777777" w:rsidR="007C72CC" w:rsidRPr="007C72CC" w:rsidRDefault="007C72CC" w:rsidP="007C72CC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C72CC">
        <w:rPr>
          <w:rFonts w:ascii="Arial" w:hAnsi="Arial" w:cs="Arial"/>
          <w:b/>
          <w:color w:val="000000"/>
          <w:szCs w:val="24"/>
        </w:rPr>
        <w:t>Nařízení č. 1/2014 obce Poniklá,</w:t>
      </w:r>
    </w:p>
    <w:p w14:paraId="722AFEF7" w14:textId="77777777" w:rsidR="007C72CC" w:rsidRPr="007C72CC" w:rsidRDefault="007C72CC" w:rsidP="007C72CC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C72CC">
        <w:rPr>
          <w:rFonts w:ascii="Arial" w:hAnsi="Arial" w:cs="Arial"/>
          <w:b/>
          <w:color w:val="000000"/>
          <w:szCs w:val="24"/>
        </w:rPr>
        <w:t>o zákazu pochůzkového a podomního prodeje</w:t>
      </w:r>
    </w:p>
    <w:p w14:paraId="425B3D48" w14:textId="77777777" w:rsidR="007C72CC" w:rsidRDefault="007C72CC" w:rsidP="007C72CC">
      <w:pPr>
        <w:pStyle w:val="Zkladntext"/>
        <w:jc w:val="both"/>
        <w:rPr>
          <w:rFonts w:ascii="Arial" w:hAnsi="Arial" w:cs="Arial"/>
          <w:szCs w:val="24"/>
        </w:rPr>
      </w:pPr>
    </w:p>
    <w:p w14:paraId="3913BD9D" w14:textId="014D72D0" w:rsidR="007C72CC" w:rsidRPr="007C72CC" w:rsidRDefault="007C72CC" w:rsidP="007C72CC">
      <w:pPr>
        <w:pStyle w:val="Zkladntext"/>
        <w:jc w:val="both"/>
        <w:rPr>
          <w:rFonts w:ascii="Arial" w:hAnsi="Arial" w:cs="Arial"/>
          <w:szCs w:val="24"/>
        </w:rPr>
      </w:pPr>
      <w:r w:rsidRPr="007C72CC">
        <w:rPr>
          <w:rFonts w:ascii="Arial" w:hAnsi="Arial" w:cs="Arial"/>
          <w:szCs w:val="24"/>
        </w:rPr>
        <w:t>Rada obce Poniklá se na svém zasedání dne 15. 9. 2014 usnesením č. 1430/2014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>usnesla vydat na základě § 18 odst. 3) zákona č. 455/1991 Sb., o živnostenském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>podnikání (živnostenský zákon), ve znění pozdějších předpisů, a v souladu s § 11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>odst. 1) a § 102 odst. 2) písm. d) zákona č. 128/2000 Sb., o obcích (obecní zřízení),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>ve znění pozdějších předpisů, toto nařízení:</w:t>
      </w:r>
    </w:p>
    <w:p w14:paraId="455DFE69" w14:textId="77777777" w:rsidR="007C72CC" w:rsidRPr="007C72CC" w:rsidRDefault="007C72CC" w:rsidP="007C72CC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7C72CC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1</w:t>
      </w:r>
    </w:p>
    <w:p w14:paraId="41F5DBD5" w14:textId="77777777" w:rsidR="007C72CC" w:rsidRPr="007C72CC" w:rsidRDefault="007C72CC" w:rsidP="007C72CC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7C72CC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Preambule</w:t>
      </w:r>
    </w:p>
    <w:p w14:paraId="6C01277C" w14:textId="2CF4FA98" w:rsidR="007C72CC" w:rsidRPr="007C72CC" w:rsidRDefault="007C72CC" w:rsidP="007C72CC">
      <w:pPr>
        <w:pStyle w:val="Zkladntext"/>
        <w:jc w:val="both"/>
        <w:rPr>
          <w:rFonts w:ascii="Arial" w:hAnsi="Arial" w:cs="Arial"/>
          <w:szCs w:val="24"/>
        </w:rPr>
      </w:pPr>
      <w:r w:rsidRPr="007C72CC">
        <w:rPr>
          <w:rFonts w:ascii="Arial" w:hAnsi="Arial" w:cs="Arial"/>
          <w:szCs w:val="24"/>
        </w:rPr>
        <w:t>Účelem tohoto nařízení je stanovit podmínky, za kterých lze na území obce Poniklá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>uskutečňovat nabídku, prodej zboží a poskytování služeb mimo provozovnu určenou k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>tomuto účelu kolaudačním rozhodnutím podle zvláštního předpisu1). Toto nařízení je</w:t>
      </w:r>
      <w:r w:rsidR="0065050C"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>závazné pro celé území obce Poniklá bez ohledu na charakter prostranství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 </w:t>
      </w:r>
      <w:r w:rsidRPr="007C72CC">
        <w:rPr>
          <w:rFonts w:ascii="Arial" w:hAnsi="Arial" w:cs="Arial"/>
          <w:szCs w:val="24"/>
        </w:rPr>
        <w:t>vlastnictví k němu.</w:t>
      </w:r>
    </w:p>
    <w:p w14:paraId="0354C38D" w14:textId="77777777" w:rsidR="007C72CC" w:rsidRPr="007C72CC" w:rsidRDefault="007C72CC" w:rsidP="007C72CC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7C72CC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2</w:t>
      </w:r>
    </w:p>
    <w:p w14:paraId="65DEA34E" w14:textId="77777777" w:rsidR="007C72CC" w:rsidRPr="007C72CC" w:rsidRDefault="007C72CC" w:rsidP="007C72CC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7C72CC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Vymezení pojmů</w:t>
      </w:r>
    </w:p>
    <w:p w14:paraId="7BE071B5" w14:textId="2EED306F" w:rsidR="007C72CC" w:rsidRPr="007C72CC" w:rsidRDefault="007C72CC" w:rsidP="007C72CC">
      <w:pPr>
        <w:pStyle w:val="Zkladntext"/>
        <w:jc w:val="both"/>
        <w:rPr>
          <w:rFonts w:ascii="Arial" w:hAnsi="Arial" w:cs="Arial"/>
          <w:szCs w:val="24"/>
        </w:rPr>
      </w:pPr>
      <w:r w:rsidRPr="007C72CC">
        <w:rPr>
          <w:rFonts w:ascii="Arial" w:hAnsi="Arial" w:cs="Arial"/>
          <w:szCs w:val="24"/>
        </w:rPr>
        <w:t>1. Podomním prodejem se rozumí prodej zboží či poskytování služeb nebo nabízení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>prodeje zboží či poskytování služeb, provozovaný bez pevného stanoviště obchůzkou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 xml:space="preserve">jednotlivých bytů, domů, </w:t>
      </w:r>
      <w:proofErr w:type="gramStart"/>
      <w:r w:rsidRPr="007C72CC">
        <w:rPr>
          <w:rFonts w:ascii="Arial" w:hAnsi="Arial" w:cs="Arial"/>
          <w:szCs w:val="24"/>
        </w:rPr>
        <w:t>budov,</w:t>
      </w:r>
      <w:proofErr w:type="gramEnd"/>
      <w:r w:rsidRPr="007C72CC">
        <w:rPr>
          <w:rFonts w:ascii="Arial" w:hAnsi="Arial" w:cs="Arial"/>
          <w:szCs w:val="24"/>
        </w:rPr>
        <w:t xml:space="preserve"> apod. bez předchozí objednávky. Podomním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>prodejem není prodej zboží či poskytování služeb nebo nabízení prodeje zboží či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>poskytování služeb, které jsou realizovány na základě předchozí objednávky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>uživatelem domu, bytu, budovy apod.</w:t>
      </w:r>
    </w:p>
    <w:p w14:paraId="5E609F04" w14:textId="4DC7156D" w:rsidR="007C72CC" w:rsidRDefault="007C72CC" w:rsidP="007C72CC">
      <w:pPr>
        <w:pStyle w:val="Zkladntext"/>
        <w:jc w:val="both"/>
        <w:rPr>
          <w:rFonts w:ascii="Arial" w:hAnsi="Arial" w:cs="Arial"/>
          <w:szCs w:val="24"/>
        </w:rPr>
      </w:pPr>
      <w:r w:rsidRPr="007C72CC">
        <w:rPr>
          <w:rFonts w:ascii="Arial" w:hAnsi="Arial" w:cs="Arial"/>
          <w:szCs w:val="24"/>
        </w:rPr>
        <w:t>2. Pochůzkovým prodejem se rozumí prodej zboží či poskytování služeb nebo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>nabízení prodeje zboží či poskytování služeb mimo provozovnu určenou k</w:t>
      </w:r>
      <w:r>
        <w:rPr>
          <w:rFonts w:ascii="Arial" w:hAnsi="Arial" w:cs="Arial"/>
          <w:szCs w:val="24"/>
        </w:rPr>
        <w:t> </w:t>
      </w:r>
      <w:r w:rsidRPr="007C72CC">
        <w:rPr>
          <w:rFonts w:ascii="Arial" w:hAnsi="Arial" w:cs="Arial"/>
          <w:szCs w:val="24"/>
        </w:rPr>
        <w:t>tomuto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>účelu kolaudačním souhlasem podle zvláštního zákona1) s použitím přenosného nebo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>neseného zařízení (konstrukce, tyče, závěsného pultu, zavazadel, tašek a podobných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>zařízení) nebo přímo z ruky. Pochůzkový prodej je zpravidla provozován formou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>pochůzky, při níž je potencionální uživatel zboží nebo služeb vyhledáván prodejcem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>z okruhu osob na veřejném prostranství či veřejně přístupných místech, přičemž není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>rozhodující, zda ten, kdo zboží nebo služby prodává či nabízí, se přemísťuje nebo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>postává na místě.</w:t>
      </w:r>
    </w:p>
    <w:p w14:paraId="1D0AD724" w14:textId="77777777" w:rsidR="00480DE3" w:rsidRDefault="00480DE3" w:rsidP="007C72CC">
      <w:pPr>
        <w:pStyle w:val="Zkladntext"/>
        <w:jc w:val="both"/>
        <w:rPr>
          <w:rFonts w:ascii="Arial" w:hAnsi="Arial" w:cs="Arial"/>
          <w:szCs w:val="24"/>
        </w:rPr>
      </w:pPr>
    </w:p>
    <w:p w14:paraId="251D0282" w14:textId="77777777" w:rsidR="00480DE3" w:rsidRDefault="00480DE3" w:rsidP="00480DE3">
      <w:r>
        <w:t>____________________</w:t>
      </w:r>
    </w:p>
    <w:p w14:paraId="64F5FCDB" w14:textId="4D3E65B8" w:rsidR="00480DE3" w:rsidRDefault="00480DE3" w:rsidP="00480DE3">
      <w:r>
        <w:t>1) zákon č. 183/2006 Sb., o územním plánování a stavebním řádu (stavební</w:t>
      </w:r>
      <w:r w:rsidR="0065050C">
        <w:t xml:space="preserve"> </w:t>
      </w:r>
      <w:r>
        <w:t>zákon), ve znění pozdějších předpisů</w:t>
      </w:r>
    </w:p>
    <w:p w14:paraId="3BC14C36" w14:textId="48654D40" w:rsidR="007C72CC" w:rsidRPr="007C72CC" w:rsidRDefault="007C72CC" w:rsidP="007C72CC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7C72CC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lastRenderedPageBreak/>
        <w:t>Čl. 3</w:t>
      </w:r>
    </w:p>
    <w:p w14:paraId="0195770F" w14:textId="77777777" w:rsidR="007C72CC" w:rsidRPr="007C72CC" w:rsidRDefault="007C72CC" w:rsidP="007C72CC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7C72CC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Zákaz podomního a pochůzkového prodeje</w:t>
      </w:r>
    </w:p>
    <w:p w14:paraId="5E0519D8" w14:textId="77777777" w:rsidR="007C72CC" w:rsidRPr="007C72CC" w:rsidRDefault="007C72CC" w:rsidP="007C72CC">
      <w:pPr>
        <w:pStyle w:val="Zkladntext"/>
        <w:jc w:val="both"/>
        <w:rPr>
          <w:rFonts w:ascii="Arial" w:hAnsi="Arial" w:cs="Arial"/>
          <w:szCs w:val="24"/>
        </w:rPr>
      </w:pPr>
      <w:r w:rsidRPr="007C72CC">
        <w:rPr>
          <w:rFonts w:ascii="Arial" w:hAnsi="Arial" w:cs="Arial"/>
          <w:szCs w:val="24"/>
        </w:rPr>
        <w:t>1. Na území obce Poniklá se zakazuje podomní prodej.</w:t>
      </w:r>
    </w:p>
    <w:p w14:paraId="04BD516F" w14:textId="77777777" w:rsidR="007C72CC" w:rsidRDefault="007C72CC" w:rsidP="007C72CC">
      <w:pPr>
        <w:pStyle w:val="Zkladntext"/>
        <w:jc w:val="both"/>
        <w:rPr>
          <w:rFonts w:ascii="Arial" w:hAnsi="Arial" w:cs="Arial"/>
          <w:szCs w:val="24"/>
        </w:rPr>
      </w:pPr>
      <w:r w:rsidRPr="007C72CC">
        <w:rPr>
          <w:rFonts w:ascii="Arial" w:hAnsi="Arial" w:cs="Arial"/>
          <w:szCs w:val="24"/>
        </w:rPr>
        <w:t>2. Na území obce Poniklá se zakazuje pochůzkový prodej.</w:t>
      </w:r>
    </w:p>
    <w:p w14:paraId="55A824C7" w14:textId="2A04E677" w:rsidR="00480DE3" w:rsidRPr="007C72CC" w:rsidRDefault="00480DE3" w:rsidP="007C72CC">
      <w:pPr>
        <w:pStyle w:val="Zkladntext"/>
        <w:jc w:val="both"/>
        <w:rPr>
          <w:rFonts w:ascii="Arial" w:hAnsi="Arial" w:cs="Arial"/>
          <w:szCs w:val="24"/>
        </w:rPr>
      </w:pPr>
    </w:p>
    <w:p w14:paraId="47884962" w14:textId="77777777" w:rsidR="007C72CC" w:rsidRPr="007C72CC" w:rsidRDefault="007C72CC" w:rsidP="007C72CC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7C72CC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4</w:t>
      </w:r>
    </w:p>
    <w:p w14:paraId="52740C57" w14:textId="77777777" w:rsidR="007C72CC" w:rsidRPr="007C72CC" w:rsidRDefault="007C72CC" w:rsidP="007C72CC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7C72CC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Druhy prodeje zboží a poskytování služeb a místa,</w:t>
      </w:r>
    </w:p>
    <w:p w14:paraId="490A5A58" w14:textId="77777777" w:rsidR="007C72CC" w:rsidRPr="007C72CC" w:rsidRDefault="007C72CC" w:rsidP="007C72CC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7C72CC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na která se toto nařízení nevztahuje</w:t>
      </w:r>
    </w:p>
    <w:p w14:paraId="2D38BBA9" w14:textId="77777777" w:rsidR="007C72CC" w:rsidRPr="007C72CC" w:rsidRDefault="007C72CC" w:rsidP="007C72CC">
      <w:pPr>
        <w:pStyle w:val="Zkladntext"/>
        <w:jc w:val="both"/>
        <w:rPr>
          <w:rFonts w:ascii="Arial" w:hAnsi="Arial" w:cs="Arial"/>
          <w:szCs w:val="24"/>
        </w:rPr>
      </w:pPr>
      <w:r w:rsidRPr="007C72CC">
        <w:rPr>
          <w:rFonts w:ascii="Arial" w:hAnsi="Arial" w:cs="Arial"/>
          <w:szCs w:val="24"/>
        </w:rPr>
        <w:t xml:space="preserve">Zákaz uvedený v </w:t>
      </w:r>
      <w:proofErr w:type="spellStart"/>
      <w:r w:rsidRPr="007C72CC">
        <w:rPr>
          <w:rFonts w:ascii="Arial" w:hAnsi="Arial" w:cs="Arial"/>
          <w:szCs w:val="24"/>
        </w:rPr>
        <w:t>ust</w:t>
      </w:r>
      <w:proofErr w:type="spellEnd"/>
      <w:r w:rsidRPr="007C72CC">
        <w:rPr>
          <w:rFonts w:ascii="Arial" w:hAnsi="Arial" w:cs="Arial"/>
          <w:szCs w:val="24"/>
        </w:rPr>
        <w:t>. Čl. 3 odst. 2. tohoto nařízení se nevztahuje:</w:t>
      </w:r>
    </w:p>
    <w:p w14:paraId="74840620" w14:textId="14989FFA" w:rsidR="007C72CC" w:rsidRPr="007C72CC" w:rsidRDefault="007C72CC" w:rsidP="007C72CC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a)</w:t>
      </w:r>
      <w:r w:rsidRPr="007C72CC">
        <w:rPr>
          <w:rFonts w:ascii="Arial" w:hAnsi="Arial" w:cs="Arial"/>
          <w:szCs w:val="24"/>
        </w:rPr>
        <w:t xml:space="preserve"> na prodej zboží pomocí automatů obsluhovaných spotřebitelem</w:t>
      </w:r>
    </w:p>
    <w:p w14:paraId="07EC01A0" w14:textId="7B72E160" w:rsidR="007C72CC" w:rsidRPr="007C72CC" w:rsidRDefault="007C72CC" w:rsidP="007C72CC">
      <w:pPr>
        <w:pStyle w:val="Zkladntext"/>
        <w:jc w:val="both"/>
        <w:rPr>
          <w:rFonts w:ascii="Arial" w:hAnsi="Arial" w:cs="Arial"/>
          <w:szCs w:val="24"/>
        </w:rPr>
      </w:pPr>
      <w:r w:rsidRPr="007C72CC">
        <w:rPr>
          <w:rFonts w:ascii="Arial" w:hAnsi="Arial" w:cs="Arial"/>
          <w:szCs w:val="24"/>
        </w:rPr>
        <w:t>b)</w:t>
      </w:r>
      <w:r>
        <w:rPr>
          <w:rFonts w:ascii="Arial" w:hAnsi="Arial" w:cs="Arial"/>
          <w:szCs w:val="24"/>
        </w:rPr>
        <w:tab/>
      </w:r>
      <w:r w:rsidRPr="007C72CC">
        <w:rPr>
          <w:rFonts w:ascii="Arial" w:hAnsi="Arial" w:cs="Arial"/>
          <w:szCs w:val="24"/>
        </w:rPr>
        <w:t>na prodej tisku prostřednictvím kamelotů</w:t>
      </w:r>
    </w:p>
    <w:p w14:paraId="1B571CD4" w14:textId="779A42E7" w:rsidR="007C72CC" w:rsidRPr="007C72CC" w:rsidRDefault="007C72CC" w:rsidP="007C72CC">
      <w:pPr>
        <w:pStyle w:val="Zkladntext"/>
        <w:ind w:left="708" w:hanging="708"/>
        <w:jc w:val="both"/>
        <w:rPr>
          <w:rFonts w:ascii="Arial" w:hAnsi="Arial" w:cs="Arial"/>
          <w:szCs w:val="24"/>
        </w:rPr>
      </w:pPr>
      <w:r w:rsidRPr="007C72CC">
        <w:rPr>
          <w:rFonts w:ascii="Arial" w:hAnsi="Arial" w:cs="Arial"/>
          <w:szCs w:val="24"/>
        </w:rPr>
        <w:t xml:space="preserve">c) </w:t>
      </w:r>
      <w:r>
        <w:rPr>
          <w:rFonts w:ascii="Arial" w:hAnsi="Arial" w:cs="Arial"/>
          <w:szCs w:val="24"/>
        </w:rPr>
        <w:tab/>
      </w:r>
      <w:r w:rsidRPr="007C72CC">
        <w:rPr>
          <w:rFonts w:ascii="Arial" w:hAnsi="Arial" w:cs="Arial"/>
          <w:szCs w:val="24"/>
        </w:rPr>
        <w:t>na vánoční prodej ryb a stromků, jmelí a chvojí v období od 7. - do 24. prosince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>běžného roku</w:t>
      </w:r>
    </w:p>
    <w:p w14:paraId="42A35F5B" w14:textId="0E235CE7" w:rsidR="007C72CC" w:rsidRPr="007C72CC" w:rsidRDefault="007C72CC" w:rsidP="007C72CC">
      <w:pPr>
        <w:pStyle w:val="Zkladntext"/>
        <w:ind w:left="708" w:hanging="708"/>
        <w:jc w:val="both"/>
        <w:rPr>
          <w:rFonts w:ascii="Arial" w:hAnsi="Arial" w:cs="Arial"/>
          <w:szCs w:val="24"/>
        </w:rPr>
      </w:pPr>
      <w:r w:rsidRPr="007C72CC">
        <w:rPr>
          <w:rFonts w:ascii="Arial" w:hAnsi="Arial" w:cs="Arial"/>
          <w:szCs w:val="24"/>
        </w:rPr>
        <w:t>d)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 w:rsidRPr="007C72CC">
        <w:rPr>
          <w:rFonts w:ascii="Arial" w:hAnsi="Arial" w:cs="Arial"/>
          <w:szCs w:val="24"/>
        </w:rPr>
        <w:t>na velikonoční prodej kraslic a pomlázek v období 20 dnů před velikonočním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 xml:space="preserve">pondělím do </w:t>
      </w:r>
      <w:proofErr w:type="gramStart"/>
      <w:r w:rsidRPr="007C72CC">
        <w:rPr>
          <w:rFonts w:ascii="Arial" w:hAnsi="Arial" w:cs="Arial"/>
          <w:szCs w:val="24"/>
        </w:rPr>
        <w:t>velikonočního</w:t>
      </w:r>
      <w:proofErr w:type="gramEnd"/>
      <w:r w:rsidRPr="007C72CC">
        <w:rPr>
          <w:rFonts w:ascii="Arial" w:hAnsi="Arial" w:cs="Arial"/>
          <w:szCs w:val="24"/>
        </w:rPr>
        <w:t xml:space="preserve"> pondělí</w:t>
      </w:r>
    </w:p>
    <w:p w14:paraId="30D300EB" w14:textId="08F8D115" w:rsidR="007C72CC" w:rsidRPr="007C72CC" w:rsidRDefault="007C72CC" w:rsidP="007C72CC">
      <w:pPr>
        <w:pStyle w:val="Zkladntext"/>
        <w:ind w:left="708" w:hanging="708"/>
        <w:jc w:val="both"/>
        <w:rPr>
          <w:rFonts w:ascii="Arial" w:hAnsi="Arial" w:cs="Arial"/>
          <w:szCs w:val="24"/>
        </w:rPr>
      </w:pPr>
      <w:r w:rsidRPr="007C72CC">
        <w:rPr>
          <w:rFonts w:ascii="Arial" w:hAnsi="Arial" w:cs="Arial"/>
          <w:szCs w:val="24"/>
        </w:rPr>
        <w:t xml:space="preserve">e) </w:t>
      </w:r>
      <w:r>
        <w:rPr>
          <w:rFonts w:ascii="Arial" w:hAnsi="Arial" w:cs="Arial"/>
          <w:szCs w:val="24"/>
        </w:rPr>
        <w:tab/>
      </w:r>
      <w:r w:rsidRPr="007C72CC">
        <w:rPr>
          <w:rFonts w:ascii="Arial" w:hAnsi="Arial" w:cs="Arial"/>
          <w:szCs w:val="24"/>
        </w:rPr>
        <w:t>na prodej v pojízdné prodejně a obdobném zařízení sloužícím k prodeji zboží nebo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>poskytování služeb</w:t>
      </w:r>
    </w:p>
    <w:p w14:paraId="2171286F" w14:textId="5EAC5BFF" w:rsidR="007C72CC" w:rsidRPr="007C72CC" w:rsidRDefault="007C72CC" w:rsidP="007C72CC">
      <w:pPr>
        <w:pStyle w:val="Zkladntext"/>
        <w:ind w:left="708" w:hanging="708"/>
        <w:jc w:val="both"/>
        <w:rPr>
          <w:rFonts w:ascii="Arial" w:hAnsi="Arial" w:cs="Arial"/>
          <w:szCs w:val="24"/>
        </w:rPr>
      </w:pPr>
      <w:r w:rsidRPr="007C72CC">
        <w:rPr>
          <w:rFonts w:ascii="Arial" w:hAnsi="Arial" w:cs="Arial"/>
          <w:szCs w:val="24"/>
        </w:rPr>
        <w:t xml:space="preserve">f) </w:t>
      </w:r>
      <w:r>
        <w:rPr>
          <w:rFonts w:ascii="Arial" w:hAnsi="Arial" w:cs="Arial"/>
          <w:szCs w:val="24"/>
        </w:rPr>
        <w:tab/>
      </w:r>
      <w:r w:rsidRPr="007C72CC">
        <w:rPr>
          <w:rFonts w:ascii="Arial" w:hAnsi="Arial" w:cs="Arial"/>
          <w:szCs w:val="24"/>
        </w:rPr>
        <w:t>na nabídku a prodej zboží a poskytování služeb při výstavních, školních a kulturních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>akcích, slavnostech, Svatojakubské pouti, veřejných vystoupeních, sportovních</w:t>
      </w:r>
      <w:r>
        <w:rPr>
          <w:rFonts w:ascii="Arial" w:hAnsi="Arial" w:cs="Arial"/>
          <w:szCs w:val="24"/>
        </w:rPr>
        <w:t xml:space="preserve"> </w:t>
      </w:r>
      <w:r w:rsidRPr="007C72CC">
        <w:rPr>
          <w:rFonts w:ascii="Arial" w:hAnsi="Arial" w:cs="Arial"/>
          <w:szCs w:val="24"/>
        </w:rPr>
        <w:t>podnicích</w:t>
      </w:r>
    </w:p>
    <w:p w14:paraId="0D28F3E8" w14:textId="155232F6" w:rsidR="007C72CC" w:rsidRPr="007C72CC" w:rsidRDefault="007C72CC" w:rsidP="007C72CC">
      <w:pPr>
        <w:pStyle w:val="Zkladntext"/>
        <w:jc w:val="both"/>
        <w:rPr>
          <w:rFonts w:ascii="Arial" w:hAnsi="Arial" w:cs="Arial"/>
          <w:szCs w:val="24"/>
        </w:rPr>
      </w:pPr>
      <w:r w:rsidRPr="007C72CC">
        <w:rPr>
          <w:rFonts w:ascii="Arial" w:hAnsi="Arial" w:cs="Arial"/>
          <w:szCs w:val="24"/>
        </w:rPr>
        <w:t>g)</w:t>
      </w:r>
      <w:r>
        <w:rPr>
          <w:rFonts w:ascii="Arial" w:hAnsi="Arial" w:cs="Arial"/>
          <w:szCs w:val="24"/>
        </w:rPr>
        <w:tab/>
      </w:r>
      <w:r w:rsidRPr="007C72CC">
        <w:rPr>
          <w:rFonts w:ascii="Arial" w:hAnsi="Arial" w:cs="Arial"/>
          <w:szCs w:val="24"/>
        </w:rPr>
        <w:t xml:space="preserve"> na restaurační předzahrádky</w:t>
      </w:r>
    </w:p>
    <w:p w14:paraId="7721CCFE" w14:textId="0D79BB5F" w:rsidR="007C72CC" w:rsidRPr="007C72CC" w:rsidRDefault="007C72CC" w:rsidP="007C72CC">
      <w:pPr>
        <w:pStyle w:val="Zkladntext"/>
        <w:jc w:val="both"/>
        <w:rPr>
          <w:rFonts w:ascii="Arial" w:hAnsi="Arial" w:cs="Arial"/>
          <w:szCs w:val="24"/>
        </w:rPr>
      </w:pPr>
      <w:r w:rsidRPr="007C72CC">
        <w:rPr>
          <w:rFonts w:ascii="Arial" w:hAnsi="Arial" w:cs="Arial"/>
          <w:szCs w:val="24"/>
        </w:rPr>
        <w:t xml:space="preserve">h) </w:t>
      </w:r>
      <w:r>
        <w:rPr>
          <w:rFonts w:ascii="Arial" w:hAnsi="Arial" w:cs="Arial"/>
          <w:szCs w:val="24"/>
        </w:rPr>
        <w:tab/>
      </w:r>
      <w:r w:rsidRPr="007C72CC">
        <w:rPr>
          <w:rFonts w:ascii="Arial" w:hAnsi="Arial" w:cs="Arial"/>
          <w:szCs w:val="24"/>
        </w:rPr>
        <w:t>na předsunutá prodejní místa</w:t>
      </w:r>
    </w:p>
    <w:p w14:paraId="66C21193" w14:textId="77777777" w:rsidR="007C72CC" w:rsidRPr="007C72CC" w:rsidRDefault="007C72CC" w:rsidP="007C72CC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7C72CC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5</w:t>
      </w:r>
    </w:p>
    <w:p w14:paraId="3E29246C" w14:textId="77777777" w:rsidR="007C72CC" w:rsidRPr="007C72CC" w:rsidRDefault="007C72CC" w:rsidP="007C72CC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7C72CC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Kontrola a sankce</w:t>
      </w:r>
    </w:p>
    <w:p w14:paraId="4B670BEA" w14:textId="77777777" w:rsidR="007C72CC" w:rsidRPr="007C72CC" w:rsidRDefault="007C72CC" w:rsidP="007C72CC">
      <w:pPr>
        <w:pStyle w:val="Zkladntext"/>
        <w:jc w:val="both"/>
        <w:rPr>
          <w:rFonts w:ascii="Arial" w:hAnsi="Arial" w:cs="Arial"/>
          <w:szCs w:val="24"/>
        </w:rPr>
      </w:pPr>
      <w:r w:rsidRPr="007C72CC">
        <w:rPr>
          <w:rFonts w:ascii="Arial" w:hAnsi="Arial" w:cs="Arial"/>
          <w:szCs w:val="24"/>
        </w:rPr>
        <w:t>Kontrola dodržování nařízení se provádí podle zvláštního právního předpisu2).</w:t>
      </w:r>
    </w:p>
    <w:p w14:paraId="4B40F130" w14:textId="77777777" w:rsidR="007C72CC" w:rsidRPr="007C72CC" w:rsidRDefault="007C72CC" w:rsidP="007C72CC">
      <w:pPr>
        <w:pStyle w:val="Zkladntext"/>
        <w:jc w:val="both"/>
        <w:rPr>
          <w:rFonts w:ascii="Arial" w:hAnsi="Arial" w:cs="Arial"/>
          <w:szCs w:val="24"/>
        </w:rPr>
      </w:pPr>
      <w:r w:rsidRPr="007C72CC">
        <w:rPr>
          <w:rFonts w:ascii="Arial" w:hAnsi="Arial" w:cs="Arial"/>
          <w:szCs w:val="24"/>
        </w:rPr>
        <w:t>Porušení tohoto nařízení se postihuje podle zvláštních předpisů3).</w:t>
      </w:r>
    </w:p>
    <w:p w14:paraId="1571AED5" w14:textId="77777777" w:rsidR="007C72CC" w:rsidRPr="007C72CC" w:rsidRDefault="007C72CC" w:rsidP="007C72CC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7C72CC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6</w:t>
      </w:r>
    </w:p>
    <w:p w14:paraId="454CE68A" w14:textId="77777777" w:rsidR="007C72CC" w:rsidRPr="007C72CC" w:rsidRDefault="007C72CC" w:rsidP="007C72CC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7C72CC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Závěrečná ustanovení</w:t>
      </w:r>
    </w:p>
    <w:p w14:paraId="323508B6" w14:textId="77777777" w:rsidR="007C72CC" w:rsidRDefault="007C72CC" w:rsidP="007C72CC">
      <w:r>
        <w:t>Tato vyhláška nabývá účinnosti 15. dnem po dni jejího vyhlášení.</w:t>
      </w:r>
    </w:p>
    <w:p w14:paraId="379BFA05" w14:textId="77777777" w:rsidR="007C72CC" w:rsidRDefault="007C72CC" w:rsidP="007C72CC">
      <w:r>
        <w:t>….…………….……........ ……….……………..........</w:t>
      </w:r>
    </w:p>
    <w:p w14:paraId="75D36BBA" w14:textId="77777777" w:rsidR="007C72CC" w:rsidRDefault="007C72CC" w:rsidP="007C72CC">
      <w:r>
        <w:t>Ing. Petra Novotná Ing. Tomáš Hájek</w:t>
      </w:r>
    </w:p>
    <w:p w14:paraId="4AD8BD93" w14:textId="77777777" w:rsidR="007C72CC" w:rsidRDefault="007C72CC" w:rsidP="007C72CC">
      <w:r>
        <w:t>místostarostka starosta</w:t>
      </w:r>
    </w:p>
    <w:p w14:paraId="77ED85BE" w14:textId="77777777" w:rsidR="007C72CC" w:rsidRDefault="007C72CC" w:rsidP="007C72CC">
      <w:r>
        <w:t>____________________</w:t>
      </w:r>
    </w:p>
    <w:p w14:paraId="550E5276" w14:textId="453A03E9" w:rsidR="007C72CC" w:rsidRDefault="007C72CC" w:rsidP="007C72CC">
      <w:r>
        <w:t>2) Zákon č. 255/2012 Sb., o kontrole (kontrolní řád), zákon č. 455/1991 Sb.,</w:t>
      </w:r>
      <w:r w:rsidR="00480DE3">
        <w:t xml:space="preserve"> </w:t>
      </w:r>
      <w:r>
        <w:t>o živnostenském podnikání, ve znění pozdějších předpisů a zákon</w:t>
      </w:r>
      <w:r w:rsidR="00480DE3">
        <w:t xml:space="preserve"> </w:t>
      </w:r>
      <w:r>
        <w:t>č. 553/1991 Sb., o obecní policii.</w:t>
      </w:r>
    </w:p>
    <w:p w14:paraId="3DE3904D" w14:textId="7F3AEB5E" w:rsidR="00DF6318" w:rsidRDefault="007C72CC" w:rsidP="007C72CC">
      <w:r>
        <w:t>3) zákon č. 128/2000 Sb., o obcích, ve znění pozdějších předpisů, zákon</w:t>
      </w:r>
      <w:r w:rsidR="00480DE3">
        <w:t xml:space="preserve"> </w:t>
      </w:r>
      <w:r>
        <w:t>č. 20/1990 Sb., o přestupcích, ve znění pozdějších předpisů</w:t>
      </w:r>
    </w:p>
    <w:sectPr w:rsidR="00DF6318" w:rsidSect="0065050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CC"/>
    <w:rsid w:val="000423EB"/>
    <w:rsid w:val="00480DE3"/>
    <w:rsid w:val="0065050C"/>
    <w:rsid w:val="007C72CC"/>
    <w:rsid w:val="00B0059E"/>
    <w:rsid w:val="00D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D222"/>
  <w15:chartTrackingRefBased/>
  <w15:docId w15:val="{4543450E-C9F7-4C84-8942-C92611D1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7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7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7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7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7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7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7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7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7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7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7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72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72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72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72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72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72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7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7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7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C72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72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C72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7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72C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72CC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7C72CC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7C72C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7C72CC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dcterms:created xsi:type="dcterms:W3CDTF">2024-12-10T07:05:00Z</dcterms:created>
  <dcterms:modified xsi:type="dcterms:W3CDTF">2024-12-10T07:05:00Z</dcterms:modified>
</cp:coreProperties>
</file>