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BB46" w14:textId="61289750" w:rsidR="004F342E" w:rsidRPr="004F342E" w:rsidRDefault="008D11CD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8D11CD">
        <w:rPr>
          <w:noProof/>
          <w:u w:val="none"/>
        </w:rPr>
        <w:drawing>
          <wp:inline distT="0" distB="0" distL="0" distR="0" wp14:anchorId="70EBE474" wp14:editId="36CE1AB7">
            <wp:extent cx="330200" cy="406024"/>
            <wp:effectExtent l="0" t="0" r="0" b="0"/>
            <wp:docPr id="1" name="obrázek 1" descr="Znak obce Hlubo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Hlubok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8" cy="4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E83CDE">
        <w:rPr>
          <w:rFonts w:ascii="Cambria" w:hAnsi="Cambria" w:cs="Arial"/>
          <w:noProof/>
          <w:szCs w:val="24"/>
          <w:u w:val="none"/>
        </w:rPr>
        <w:t xml:space="preserve">   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Hluboké</w:t>
      </w:r>
    </w:p>
    <w:p w14:paraId="4E452779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4E082BE4" w14:textId="5D549CB6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8D11CD">
        <w:rPr>
          <w:rFonts w:ascii="Cambria" w:hAnsi="Cambria" w:cs="Arial"/>
          <w:b/>
          <w:sz w:val="28"/>
          <w:szCs w:val="28"/>
        </w:rPr>
        <w:t>Hluboké</w:t>
      </w:r>
    </w:p>
    <w:p w14:paraId="2A88A8FD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57C7BF9C" w14:textId="4C7EF758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</w:p>
    <w:p w14:paraId="250EAB60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3ED14456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7D377580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53A39CAB" w14:textId="2506B285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8D11CD">
        <w:rPr>
          <w:rFonts w:cs="Times New Roman"/>
          <w:b w:val="0"/>
          <w:sz w:val="24"/>
          <w:szCs w:val="24"/>
        </w:rPr>
        <w:t>Hluboké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FE7523">
        <w:rPr>
          <w:rFonts w:cs="Times New Roman"/>
          <w:b w:val="0"/>
          <w:sz w:val="24"/>
          <w:szCs w:val="24"/>
        </w:rPr>
        <w:t>7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61192F"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z w:val="24"/>
          <w:szCs w:val="24"/>
        </w:rPr>
        <w:t>. 202</w:t>
      </w:r>
      <w:r w:rsidR="00F732C2">
        <w:rPr>
          <w:rFonts w:cs="Times New Roman"/>
          <w:b w:val="0"/>
          <w:sz w:val="24"/>
          <w:szCs w:val="24"/>
        </w:rPr>
        <w:t>2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FE7523">
        <w:rPr>
          <w:rFonts w:cs="Times New Roman"/>
          <w:b w:val="0"/>
          <w:sz w:val="24"/>
          <w:szCs w:val="24"/>
        </w:rPr>
        <w:t>2/6/22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6BE3EF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0B8334D9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438F2081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64DECD20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527043C7" w14:textId="7BEDA1DF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8D11CD">
        <w:rPr>
          <w:rFonts w:ascii="Cambria" w:hAnsi="Cambria"/>
          <w:szCs w:val="24"/>
        </w:rPr>
        <w:t>Hluboké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37E50C80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691D50DB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24B3D0E7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16204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4857B49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67B77EC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587C9E0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45585C95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69E4A189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0315E3B5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9CD4F8C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5471A1ED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265DD971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796B7D71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2BB85D80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5AE7BE4E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077CA921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547114F4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113DB6CD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079A8801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E604450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5E298282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7980A012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5689D37D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0083537B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264CD5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D5E553B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06F8932D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0932D78E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7E840A85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2A948967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1F67FC47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7345EAAF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5C4932EF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7F33E24C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47D77E5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5C6D5073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8B437D2" w14:textId="393E6715"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FE7523">
        <w:rPr>
          <w:rFonts w:ascii="Cambria" w:hAnsi="Cambria"/>
        </w:rPr>
        <w:t>600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64CE70A4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5EC43F5C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29BF88F6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33F6055B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0038528C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0BC37A36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653429AE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1D2FEC0B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527F2581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72CEB8F3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7F9A427A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5BF53A6E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69CF6E64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55CAE9C3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6476CC35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C84FC73" w14:textId="444F5706" w:rsidR="00296DB4" w:rsidRPr="0041146E" w:rsidRDefault="00470893" w:rsidP="0041146E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proofErr w:type="gramStart"/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>ednorázově</w:t>
      </w:r>
      <w:proofErr w:type="gramEnd"/>
      <w:r w:rsidR="00E83CDE" w:rsidRPr="00BB1586">
        <w:rPr>
          <w:rFonts w:ascii="Cambria" w:hAnsi="Cambria" w:cs="Cambria"/>
        </w:rPr>
        <w:t xml:space="preserve"> a to nejpozději </w:t>
      </w:r>
      <w:r w:rsidR="00296DB4">
        <w:rPr>
          <w:rFonts w:ascii="Cambria" w:hAnsi="Cambria"/>
        </w:rPr>
        <w:t>do 3</w:t>
      </w:r>
      <w:r w:rsidR="008D11CD">
        <w:rPr>
          <w:rFonts w:ascii="Cambria" w:hAnsi="Cambria"/>
        </w:rPr>
        <w:t>1</w:t>
      </w:r>
      <w:r w:rsidR="00296DB4">
        <w:rPr>
          <w:rFonts w:ascii="Cambria" w:hAnsi="Cambria"/>
        </w:rPr>
        <w:t xml:space="preserve">. </w:t>
      </w:r>
      <w:r w:rsidR="008D11CD">
        <w:rPr>
          <w:rFonts w:ascii="Cambria" w:hAnsi="Cambria"/>
        </w:rPr>
        <w:t>12</w:t>
      </w:r>
      <w:r w:rsidR="00BB1586">
        <w:rPr>
          <w:rFonts w:ascii="Cambria" w:hAnsi="Cambria"/>
        </w:rPr>
        <w:t>. příslušného kalendářního roku</w:t>
      </w:r>
      <w:r w:rsidR="0041146E" w:rsidRPr="00B70957">
        <w:rPr>
          <w:rFonts w:ascii="Cambria" w:hAnsi="Cambria"/>
        </w:rPr>
        <w:t>.</w:t>
      </w:r>
    </w:p>
    <w:p w14:paraId="54D59088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2016998F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1E0DC8DC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11DF6575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4244028F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623059C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489B0D75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7F602EE5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F40EE3" w14:textId="77777777"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58EBF281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6EC3291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0D06B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C86C56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CA49E7" w14:textId="28898AF2"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3FA43CFB" w14:textId="77777777"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14:paraId="587F4D38" w14:textId="47FFA43C" w:rsidR="008D11CD" w:rsidRPr="008D11CD" w:rsidRDefault="00CA517A" w:rsidP="008D11CD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</w:t>
      </w:r>
      <w:r w:rsidR="008D11CD">
        <w:rPr>
          <w:rFonts w:ascii="Cambria" w:hAnsi="Cambria" w:cs="Arial"/>
        </w:rPr>
        <w:t xml:space="preserve"> </w:t>
      </w:r>
      <w:r w:rsidR="008D11CD" w:rsidRPr="008D11CD">
        <w:rPr>
          <w:rFonts w:ascii="Cambria" w:hAnsi="Cambria"/>
        </w:rPr>
        <w:t>přihlášená v</w:t>
      </w:r>
      <w:r w:rsidR="008D11CD">
        <w:rPr>
          <w:rFonts w:ascii="Cambria" w:hAnsi="Cambria"/>
        </w:rPr>
        <w:t> obci Hluboké</w:t>
      </w:r>
      <w:r w:rsidR="008D11CD" w:rsidRPr="008D11CD">
        <w:rPr>
          <w:rFonts w:ascii="Cambria" w:hAnsi="Cambria"/>
        </w:rPr>
        <w:t>, která se nepřetržitě (více jak 12 měsíců v kalendářním roce) zdržuje mimo území České republiky.</w:t>
      </w:r>
    </w:p>
    <w:p w14:paraId="208DE5DC" w14:textId="77777777" w:rsidR="00A74001" w:rsidRDefault="00A74001" w:rsidP="00A74001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14:paraId="6B761649" w14:textId="7D5B818D" w:rsidR="0041146E" w:rsidRDefault="00CB0F3B" w:rsidP="008D11CD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A74001">
        <w:rPr>
          <w:rFonts w:ascii="Cambria" w:hAnsi="Cambria"/>
        </w:rPr>
        <w:t>V případě, že poplatník nesplní povinnost ohlásit údaj rozhodný pro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ve lhůtách stanovených touto vyhláškou nebo zákonem, nárok na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3A8607F1" w14:textId="77777777" w:rsidR="00A74001" w:rsidRPr="00A74001" w:rsidRDefault="00A74001" w:rsidP="00A74001">
      <w:pPr>
        <w:pStyle w:val="Default"/>
        <w:jc w:val="both"/>
        <w:rPr>
          <w:rFonts w:ascii="Cambria" w:hAnsi="Cambria"/>
        </w:rPr>
      </w:pPr>
    </w:p>
    <w:p w14:paraId="5165B0FA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4543574A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43787E03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087018D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56532423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4E9E291C" w14:textId="77777777"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48120EC9" w14:textId="77777777"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49BE6AC" w14:textId="362F1A55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0BED23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237BEA52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63D90CAD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8C82E3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2A237B1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343F6C39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0027A845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0C6EFF37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1941918A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0379119A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56A4E732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0F464BBC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16D42FEF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653FA5FC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55CF9D4C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8D243E7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5583BFD8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3A63B3E3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1DF8CCF4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6CDB7D09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5FE7F986" w14:textId="440A89E2" w:rsidR="0041146E" w:rsidRPr="00A74001" w:rsidRDefault="00702999" w:rsidP="00A74001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478A702C" w14:textId="64512ED7" w:rsidR="002C6E87" w:rsidRDefault="002C6E87" w:rsidP="00A74001">
      <w:pPr>
        <w:rPr>
          <w:rFonts w:ascii="Cambria" w:hAnsi="Cambria" w:cs="Arial"/>
          <w:b/>
        </w:rPr>
      </w:pPr>
    </w:p>
    <w:p w14:paraId="197ECF4A" w14:textId="30E313EA" w:rsidR="008D11CD" w:rsidRDefault="008D11CD" w:rsidP="00A74001">
      <w:pPr>
        <w:rPr>
          <w:rFonts w:ascii="Cambria" w:hAnsi="Cambria" w:cs="Arial"/>
          <w:b/>
        </w:rPr>
      </w:pPr>
    </w:p>
    <w:p w14:paraId="127FBD2B" w14:textId="223264E1" w:rsidR="008D11CD" w:rsidRDefault="008D11CD" w:rsidP="00A74001">
      <w:pPr>
        <w:rPr>
          <w:rFonts w:ascii="Cambria" w:hAnsi="Cambria" w:cs="Arial"/>
          <w:b/>
        </w:rPr>
      </w:pPr>
    </w:p>
    <w:p w14:paraId="0254BE05" w14:textId="77777777" w:rsidR="008D11CD" w:rsidRDefault="008D11CD" w:rsidP="00A74001">
      <w:pPr>
        <w:rPr>
          <w:rFonts w:ascii="Cambria" w:hAnsi="Cambria" w:cs="Arial"/>
          <w:b/>
        </w:rPr>
      </w:pPr>
    </w:p>
    <w:p w14:paraId="0F1A6364" w14:textId="77777777" w:rsidR="0041146E" w:rsidRPr="00F5530A" w:rsidRDefault="0041146E" w:rsidP="0041146E">
      <w:pPr>
        <w:jc w:val="center"/>
        <w:rPr>
          <w:rFonts w:ascii="Cambria" w:hAnsi="Cambria"/>
          <w:b/>
          <w:bCs/>
        </w:rPr>
      </w:pPr>
      <w:bookmarkStart w:id="1" w:name="_Hlk89075939"/>
      <w:r w:rsidRPr="00F5530A">
        <w:rPr>
          <w:rFonts w:ascii="Cambria" w:hAnsi="Cambria" w:cs="Arial"/>
          <w:b/>
          <w:bCs/>
        </w:rPr>
        <w:lastRenderedPageBreak/>
        <w:t>Článek 12</w:t>
      </w:r>
    </w:p>
    <w:p w14:paraId="0263A47C" w14:textId="77777777" w:rsidR="0041146E" w:rsidRDefault="0041146E" w:rsidP="0041146E">
      <w:pPr>
        <w:pStyle w:val="Nzvy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t>Zrušovací ustanovení</w:t>
      </w:r>
    </w:p>
    <w:p w14:paraId="43A9E284" w14:textId="77777777" w:rsidR="0041146E" w:rsidRPr="0050203E" w:rsidRDefault="0041146E" w:rsidP="0041146E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6763C801" w14:textId="5C86416B" w:rsidR="0041146E" w:rsidRDefault="0041146E" w:rsidP="0041146E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  <w:bookmarkStart w:id="2" w:name="_Hlk54595723"/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 w:rsidR="008D11CD">
        <w:rPr>
          <w:rFonts w:ascii="Cambria" w:hAnsi="Cambria" w:cs="Arial"/>
        </w:rPr>
        <w:t>1</w:t>
      </w:r>
      <w:r>
        <w:rPr>
          <w:rFonts w:ascii="Cambria" w:hAnsi="Cambria" w:cs="Arial"/>
        </w:rPr>
        <w:t>/20</w:t>
      </w:r>
      <w:r w:rsidR="00FE7523">
        <w:rPr>
          <w:rFonts w:ascii="Cambria" w:hAnsi="Cambria" w:cs="Arial"/>
        </w:rPr>
        <w:t>21</w:t>
      </w:r>
      <w:r>
        <w:rPr>
          <w:rFonts w:ascii="Cambria" w:hAnsi="Cambria" w:cs="Arial"/>
        </w:rPr>
        <w:t xml:space="preserve"> ze dne </w:t>
      </w:r>
      <w:r w:rsidR="00FE7523">
        <w:rPr>
          <w:rFonts w:ascii="Cambria" w:hAnsi="Cambria" w:cs="Arial"/>
        </w:rPr>
        <w:t>2.12.2021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  <w:bookmarkEnd w:id="2"/>
    </w:p>
    <w:bookmarkEnd w:id="1"/>
    <w:p w14:paraId="3F85E7CC" w14:textId="77777777" w:rsidR="0041146E" w:rsidRDefault="0041146E" w:rsidP="000C4361">
      <w:pPr>
        <w:rPr>
          <w:rFonts w:ascii="Cambria" w:hAnsi="Cambria" w:cs="Arial"/>
          <w:b/>
        </w:rPr>
      </w:pPr>
    </w:p>
    <w:p w14:paraId="73587A73" w14:textId="673B0E95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41146E">
        <w:rPr>
          <w:rFonts w:ascii="Cambria" w:hAnsi="Cambria" w:cs="Arial"/>
          <w:b/>
        </w:rPr>
        <w:t>3</w:t>
      </w:r>
    </w:p>
    <w:p w14:paraId="245E95A0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5B9EDABD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783A66AA" w14:textId="7F803702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</w:t>
      </w:r>
      <w:r w:rsidR="00FE7523">
        <w:rPr>
          <w:rFonts w:ascii="Cambria" w:hAnsi="Cambria" w:cs="Arial"/>
          <w:szCs w:val="24"/>
        </w:rPr>
        <w:t>3</w:t>
      </w:r>
      <w:r w:rsidRPr="00F01EB4">
        <w:rPr>
          <w:rFonts w:ascii="Cambria" w:hAnsi="Cambria" w:cs="Arial"/>
          <w:szCs w:val="24"/>
        </w:rPr>
        <w:t>.</w:t>
      </w:r>
    </w:p>
    <w:p w14:paraId="73817813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48E85588" w14:textId="77777777" w:rsidR="00F01EB4" w:rsidRDefault="00F01EB4" w:rsidP="00702999">
      <w:pPr>
        <w:jc w:val="both"/>
        <w:rPr>
          <w:rFonts w:ascii="Cambria" w:hAnsi="Cambria"/>
        </w:rPr>
      </w:pPr>
    </w:p>
    <w:p w14:paraId="14261A26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14C5F22F" w14:textId="77777777" w:rsidR="00986778" w:rsidRDefault="00986778" w:rsidP="00986778">
      <w:pPr>
        <w:jc w:val="both"/>
        <w:rPr>
          <w:rFonts w:ascii="Cambria" w:hAnsi="Cambria"/>
        </w:rPr>
      </w:pPr>
    </w:p>
    <w:p w14:paraId="12F3B612" w14:textId="77777777" w:rsidR="0041146E" w:rsidRPr="0058454B" w:rsidRDefault="0041146E" w:rsidP="0041146E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41146E" w:rsidRPr="0058454B" w14:paraId="7CC5F2F7" w14:textId="77777777" w:rsidTr="003873A3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C8717" w14:textId="19567331" w:rsidR="0041146E" w:rsidRPr="0058454B" w:rsidRDefault="0041146E" w:rsidP="003873A3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</w:t>
            </w:r>
            <w:r w:rsidR="00A74001">
              <w:rPr>
                <w:rFonts w:ascii="Cambria" w:hAnsi="Cambria" w:cs="Arial"/>
                <w:b/>
              </w:rPr>
              <w:t xml:space="preserve"> </w:t>
            </w:r>
            <w:r w:rsidR="008D11CD">
              <w:rPr>
                <w:rFonts w:ascii="Cambria" w:hAnsi="Cambria" w:cs="Arial"/>
                <w:b/>
              </w:rPr>
              <w:t xml:space="preserve">         </w:t>
            </w:r>
            <w:r w:rsidR="00F732C2">
              <w:rPr>
                <w:rFonts w:ascii="Cambria" w:hAnsi="Cambria" w:cs="Arial"/>
                <w:b/>
              </w:rPr>
              <w:t>Ing. Miloš Joch</w:t>
            </w:r>
          </w:p>
          <w:p w14:paraId="51F739D2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14:paraId="14721D89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78E3C7FD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C3017" w14:textId="1C993666" w:rsidR="0041146E" w:rsidRPr="0058454B" w:rsidRDefault="008D11CD" w:rsidP="003873A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Marie Svobodová</w:t>
            </w:r>
          </w:p>
          <w:p w14:paraId="184DD3E0" w14:textId="3CC8B90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="008D11CD"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14:paraId="51DEF181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0E3C092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sectPr w:rsidR="00C52128" w:rsidRPr="00C52128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1F5C" w14:textId="77777777" w:rsidR="00B336FD" w:rsidRDefault="00B336FD">
      <w:r>
        <w:separator/>
      </w:r>
    </w:p>
  </w:endnote>
  <w:endnote w:type="continuationSeparator" w:id="0">
    <w:p w14:paraId="70FAAB4D" w14:textId="77777777" w:rsidR="00B336FD" w:rsidRDefault="00B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1C5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52BF">
      <w:rPr>
        <w:noProof/>
      </w:rPr>
      <w:t>1</w:t>
    </w:r>
    <w:r>
      <w:fldChar w:fldCharType="end"/>
    </w:r>
  </w:p>
  <w:p w14:paraId="6B67D1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0B99" w14:textId="77777777" w:rsidR="00B336FD" w:rsidRDefault="00B336FD">
      <w:r>
        <w:separator/>
      </w:r>
    </w:p>
  </w:footnote>
  <w:footnote w:type="continuationSeparator" w:id="0">
    <w:p w14:paraId="3CE3AC94" w14:textId="77777777" w:rsidR="00B336FD" w:rsidRDefault="00B336FD">
      <w:r>
        <w:continuationSeparator/>
      </w:r>
    </w:p>
  </w:footnote>
  <w:footnote w:id="1">
    <w:p w14:paraId="2FD78EA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7B87DD3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263DF38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1B346A6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45AA1D4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2A3217D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5ECA68C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16227EE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6BFB6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7D9865D2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5A872D76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0EE7F198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732C1302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7CE215CE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086B7733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1DC8A0A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34C7878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65A5FDC2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39309F87" w14:textId="77777777"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5332D6AC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606259E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381FCF75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37667B7E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719C6F41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496414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134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7369071">
    <w:abstractNumId w:val="21"/>
  </w:num>
  <w:num w:numId="2" w16cid:durableId="1455759054">
    <w:abstractNumId w:val="1"/>
  </w:num>
  <w:num w:numId="3" w16cid:durableId="356467000">
    <w:abstractNumId w:val="7"/>
  </w:num>
  <w:num w:numId="4" w16cid:durableId="64226149">
    <w:abstractNumId w:val="29"/>
  </w:num>
  <w:num w:numId="5" w16cid:durableId="1111776451">
    <w:abstractNumId w:val="4"/>
  </w:num>
  <w:num w:numId="6" w16cid:durableId="1152599114">
    <w:abstractNumId w:val="25"/>
  </w:num>
  <w:num w:numId="7" w16cid:durableId="995568746">
    <w:abstractNumId w:val="19"/>
  </w:num>
  <w:num w:numId="8" w16cid:durableId="1078668567">
    <w:abstractNumId w:val="18"/>
  </w:num>
  <w:num w:numId="9" w16cid:durableId="25953931">
    <w:abstractNumId w:val="22"/>
  </w:num>
  <w:num w:numId="10" w16cid:durableId="1139880751">
    <w:abstractNumId w:val="10"/>
  </w:num>
  <w:num w:numId="11" w16cid:durableId="869076117">
    <w:abstractNumId w:val="30"/>
  </w:num>
  <w:num w:numId="12" w16cid:durableId="220364785">
    <w:abstractNumId w:val="33"/>
  </w:num>
  <w:num w:numId="13" w16cid:durableId="1863007929">
    <w:abstractNumId w:val="14"/>
  </w:num>
  <w:num w:numId="14" w16cid:durableId="132870095">
    <w:abstractNumId w:val="11"/>
  </w:num>
  <w:num w:numId="15" w16cid:durableId="1016420913">
    <w:abstractNumId w:val="3"/>
  </w:num>
  <w:num w:numId="16" w16cid:durableId="925185816">
    <w:abstractNumId w:val="5"/>
  </w:num>
  <w:num w:numId="17" w16cid:durableId="1670324635">
    <w:abstractNumId w:val="23"/>
  </w:num>
  <w:num w:numId="18" w16cid:durableId="94910462">
    <w:abstractNumId w:val="34"/>
  </w:num>
  <w:num w:numId="19" w16cid:durableId="1793085665">
    <w:abstractNumId w:val="20"/>
  </w:num>
  <w:num w:numId="20" w16cid:durableId="30764118">
    <w:abstractNumId w:val="15"/>
  </w:num>
  <w:num w:numId="21" w16cid:durableId="1187058947">
    <w:abstractNumId w:val="35"/>
  </w:num>
  <w:num w:numId="22" w16cid:durableId="2104565636">
    <w:abstractNumId w:val="16"/>
  </w:num>
  <w:num w:numId="23" w16cid:durableId="915167506">
    <w:abstractNumId w:val="17"/>
  </w:num>
  <w:num w:numId="24" w16cid:durableId="1458177519">
    <w:abstractNumId w:val="0"/>
  </w:num>
  <w:num w:numId="25" w16cid:durableId="1064066983">
    <w:abstractNumId w:val="12"/>
  </w:num>
  <w:num w:numId="26" w16cid:durableId="768426888">
    <w:abstractNumId w:val="8"/>
  </w:num>
  <w:num w:numId="27" w16cid:durableId="1375957541">
    <w:abstractNumId w:val="6"/>
  </w:num>
  <w:num w:numId="28" w16cid:durableId="624628185">
    <w:abstractNumId w:val="24"/>
  </w:num>
  <w:num w:numId="29" w16cid:durableId="2100985481">
    <w:abstractNumId w:val="2"/>
  </w:num>
  <w:num w:numId="30" w16cid:durableId="1678800032">
    <w:abstractNumId w:val="28"/>
  </w:num>
  <w:num w:numId="31" w16cid:durableId="1635914740">
    <w:abstractNumId w:val="32"/>
  </w:num>
  <w:num w:numId="32" w16cid:durableId="1718355525">
    <w:abstractNumId w:val="26"/>
  </w:num>
  <w:num w:numId="33" w16cid:durableId="1945530018">
    <w:abstractNumId w:val="9"/>
  </w:num>
  <w:num w:numId="34" w16cid:durableId="1582791851">
    <w:abstractNumId w:val="31"/>
  </w:num>
  <w:num w:numId="35" w16cid:durableId="1304768998">
    <w:abstractNumId w:val="36"/>
  </w:num>
  <w:num w:numId="36" w16cid:durableId="1845700621">
    <w:abstractNumId w:val="27"/>
  </w:num>
  <w:num w:numId="37" w16cid:durableId="205438130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1432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C4361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24A3D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302D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2BF"/>
    <w:rsid w:val="00265EF4"/>
    <w:rsid w:val="00267188"/>
    <w:rsid w:val="00267D9F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5505"/>
    <w:rsid w:val="002C6E41"/>
    <w:rsid w:val="002C6E87"/>
    <w:rsid w:val="002D64B8"/>
    <w:rsid w:val="002D7DAC"/>
    <w:rsid w:val="002F6C9F"/>
    <w:rsid w:val="002F7B12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146E"/>
    <w:rsid w:val="0041291C"/>
    <w:rsid w:val="00414D31"/>
    <w:rsid w:val="00421C34"/>
    <w:rsid w:val="00423176"/>
    <w:rsid w:val="00425B78"/>
    <w:rsid w:val="0042723F"/>
    <w:rsid w:val="00427D6A"/>
    <w:rsid w:val="004300E3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36B5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88B"/>
    <w:rsid w:val="00555FEB"/>
    <w:rsid w:val="00560DED"/>
    <w:rsid w:val="00563C4F"/>
    <w:rsid w:val="0056694A"/>
    <w:rsid w:val="00572A65"/>
    <w:rsid w:val="00576E29"/>
    <w:rsid w:val="00592A74"/>
    <w:rsid w:val="00594B20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192F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A6F0A"/>
    <w:rsid w:val="006B58B2"/>
    <w:rsid w:val="006B6101"/>
    <w:rsid w:val="006E5A79"/>
    <w:rsid w:val="006F432E"/>
    <w:rsid w:val="006F7573"/>
    <w:rsid w:val="006F7E1C"/>
    <w:rsid w:val="007008E2"/>
    <w:rsid w:val="007011F0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B7DD6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3145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11CD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9F6746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4001"/>
    <w:rsid w:val="00A773EE"/>
    <w:rsid w:val="00A90CF0"/>
    <w:rsid w:val="00A94551"/>
    <w:rsid w:val="00AA1F36"/>
    <w:rsid w:val="00AA3ECF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C8A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36FD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070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17A"/>
    <w:rsid w:val="00CA5511"/>
    <w:rsid w:val="00CB0F3B"/>
    <w:rsid w:val="00CB176B"/>
    <w:rsid w:val="00CB5394"/>
    <w:rsid w:val="00CB5754"/>
    <w:rsid w:val="00CB5E14"/>
    <w:rsid w:val="00CC4B32"/>
    <w:rsid w:val="00CE0C5C"/>
    <w:rsid w:val="00CE1581"/>
    <w:rsid w:val="00CE3685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779CA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2C2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523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8653D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77BA-B497-4408-AE57-46BF122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2</cp:revision>
  <cp:lastPrinted>2020-12-03T09:05:00Z</cp:lastPrinted>
  <dcterms:created xsi:type="dcterms:W3CDTF">2022-12-12T09:53:00Z</dcterms:created>
  <dcterms:modified xsi:type="dcterms:W3CDTF">2022-12-12T09:53:00Z</dcterms:modified>
</cp:coreProperties>
</file>