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02EE" w14:textId="75F78B7D" w:rsidR="004C16A6" w:rsidRDefault="004C16A6">
      <w:pPr>
        <w:pStyle w:val="Nzev"/>
      </w:pPr>
      <w:r>
        <w:rPr>
          <w:noProof/>
        </w:rPr>
        <w:drawing>
          <wp:inline distT="0" distB="0" distL="0" distR="0" wp14:anchorId="34AF20D7" wp14:editId="5A80D1D1">
            <wp:extent cx="762000" cy="908304"/>
            <wp:effectExtent l="0" t="0" r="0" b="6350"/>
            <wp:docPr id="803247130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47130" name="Obrázek 1" descr="Obsah obrázku text, symbol, emblém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1D41" w14:textId="58065EBB" w:rsidR="00EB4C7D" w:rsidRDefault="00D602D9">
      <w:pPr>
        <w:pStyle w:val="Nzev"/>
      </w:pPr>
      <w:r>
        <w:t>Obec Březová</w:t>
      </w:r>
      <w:r>
        <w:br/>
        <w:t>Zastupitelstvo obce Březová</w:t>
      </w:r>
    </w:p>
    <w:p w14:paraId="03F31777" w14:textId="77777777" w:rsidR="00EB4C7D" w:rsidRDefault="00D602D9">
      <w:pPr>
        <w:pStyle w:val="Nadpis1"/>
      </w:pPr>
      <w:r>
        <w:t>Obecně závazná vyhláška obce Březová</w:t>
      </w:r>
      <w:r>
        <w:br/>
        <w:t>o místním poplatku za odkládání komunálního odpadu z nemovité věci</w:t>
      </w:r>
    </w:p>
    <w:p w14:paraId="1FD7E355" w14:textId="04712BD4" w:rsidR="00EB4C7D" w:rsidRDefault="00D602D9">
      <w:pPr>
        <w:pStyle w:val="UvodniVeta"/>
      </w:pPr>
      <w:r>
        <w:t>Zastupitelstvo obce Březová se na svém zasedání dne </w:t>
      </w:r>
      <w:r w:rsidR="004C16A6">
        <w:t>ZO/62/09/</w:t>
      </w:r>
      <w:r>
        <w:t>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390913" w14:textId="77777777" w:rsidR="00EB4C7D" w:rsidRDefault="00D602D9">
      <w:pPr>
        <w:pStyle w:val="Nadpis2"/>
      </w:pPr>
      <w:r>
        <w:t>Čl. 1</w:t>
      </w:r>
      <w:r>
        <w:br/>
        <w:t>Úvodní ustanovení</w:t>
      </w:r>
    </w:p>
    <w:p w14:paraId="7F1DE588" w14:textId="77777777" w:rsidR="00EB4C7D" w:rsidRDefault="00D602D9">
      <w:pPr>
        <w:pStyle w:val="Odstavec"/>
        <w:numPr>
          <w:ilvl w:val="0"/>
          <w:numId w:val="1"/>
        </w:numPr>
      </w:pPr>
      <w:r>
        <w:t>Obec Březová touto vyhláškou zavádí místní poplatek za odkládání komunálního odpadu z nemovité věci (dále jen „poplatek“).</w:t>
      </w:r>
    </w:p>
    <w:p w14:paraId="38FB851F" w14:textId="77777777" w:rsidR="00EB4C7D" w:rsidRDefault="00D602D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2ED3B3" w14:textId="77777777" w:rsidR="00EB4C7D" w:rsidRDefault="00D602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7C40E9" w14:textId="77777777" w:rsidR="00EB4C7D" w:rsidRDefault="00D602D9">
      <w:pPr>
        <w:pStyle w:val="Nadpis2"/>
      </w:pPr>
      <w:r>
        <w:t>Čl. 2</w:t>
      </w:r>
      <w:r>
        <w:br/>
        <w:t>Předmět poplatku, poplatník a plátce poplatku</w:t>
      </w:r>
    </w:p>
    <w:p w14:paraId="40D2FE0A" w14:textId="77777777" w:rsidR="00EB4C7D" w:rsidRDefault="00D602D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968A5D6" w14:textId="77777777" w:rsidR="00EB4C7D" w:rsidRDefault="00D602D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AF0BA3" w14:textId="77777777" w:rsidR="00EB4C7D" w:rsidRDefault="00D602D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5E40A8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6E36212" w14:textId="77777777" w:rsidR="00EB4C7D" w:rsidRDefault="00D602D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C361BBC" w14:textId="77777777" w:rsidR="00EB4C7D" w:rsidRDefault="00D602D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D2FB46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2FE8F90" w14:textId="77777777" w:rsidR="00EB4C7D" w:rsidRDefault="00D602D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D646B3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963347E" w14:textId="77777777" w:rsidR="00EB4C7D" w:rsidRDefault="00D602D9">
      <w:pPr>
        <w:pStyle w:val="Nadpis2"/>
      </w:pPr>
      <w:r>
        <w:t>Čl. 3</w:t>
      </w:r>
      <w:r>
        <w:br/>
        <w:t>Ohlašovací povinnost</w:t>
      </w:r>
    </w:p>
    <w:p w14:paraId="2DE19C2B" w14:textId="77777777" w:rsidR="00EB4C7D" w:rsidRDefault="00D602D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330E1A8" w14:textId="77777777" w:rsidR="00EB4C7D" w:rsidRDefault="00D602D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4DC12C" w14:textId="77777777" w:rsidR="00EB4C7D" w:rsidRDefault="00D602D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2F89857" w14:textId="77777777" w:rsidR="00EB4C7D" w:rsidRDefault="00D602D9">
      <w:pPr>
        <w:pStyle w:val="Nadpis2"/>
      </w:pPr>
      <w:r>
        <w:t>Čl. 4</w:t>
      </w:r>
      <w:r>
        <w:br/>
        <w:t>Základ poplatku</w:t>
      </w:r>
    </w:p>
    <w:p w14:paraId="25F915E7" w14:textId="77777777" w:rsidR="00EB4C7D" w:rsidRDefault="00D602D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FC9FFA8" w14:textId="77777777" w:rsidR="00EB4C7D" w:rsidRDefault="00D602D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361A779" w14:textId="77777777" w:rsidR="00EB4C7D" w:rsidRDefault="00D602D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62A5D3" w14:textId="77777777" w:rsidR="00EB4C7D" w:rsidRDefault="00D602D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805376" w14:textId="1F51967C" w:rsidR="00EB4C7D" w:rsidRPr="004C16A6" w:rsidRDefault="00D602D9">
      <w:pPr>
        <w:pStyle w:val="Odstavec"/>
        <w:numPr>
          <w:ilvl w:val="0"/>
          <w:numId w:val="1"/>
        </w:numPr>
      </w:pPr>
      <w:r w:rsidRPr="004C16A6">
        <w:t xml:space="preserve">Minimální základ dílčího poplatku činí </w:t>
      </w:r>
      <w:r w:rsidR="000B4822">
        <w:t>6</w:t>
      </w:r>
      <w:r w:rsidRPr="004C16A6">
        <w:t>0 l.</w:t>
      </w:r>
    </w:p>
    <w:p w14:paraId="210EBE78" w14:textId="77777777" w:rsidR="00EB4C7D" w:rsidRPr="004C16A6" w:rsidRDefault="00D602D9">
      <w:pPr>
        <w:pStyle w:val="Nadpis2"/>
      </w:pPr>
      <w:r>
        <w:t>Čl. 5</w:t>
      </w:r>
      <w:r>
        <w:br/>
      </w:r>
      <w:r w:rsidRPr="004C16A6">
        <w:t>Sazba poplatku</w:t>
      </w:r>
    </w:p>
    <w:p w14:paraId="4DADCAF3" w14:textId="5F3C2576" w:rsidR="00EB4C7D" w:rsidRPr="004C16A6" w:rsidRDefault="00D602D9">
      <w:pPr>
        <w:pStyle w:val="Odstavec"/>
      </w:pPr>
      <w:r w:rsidRPr="004C16A6">
        <w:t>Sazba poplatku činí 0,</w:t>
      </w:r>
      <w:r w:rsidR="004C16A6">
        <w:t>6</w:t>
      </w:r>
      <w:r w:rsidRPr="004C16A6">
        <w:t>0 Kč za l.</w:t>
      </w:r>
    </w:p>
    <w:p w14:paraId="1F4F9F73" w14:textId="77777777" w:rsidR="00EB4C7D" w:rsidRDefault="00D602D9">
      <w:pPr>
        <w:pStyle w:val="Nadpis2"/>
      </w:pPr>
      <w:r>
        <w:t>Čl. 6</w:t>
      </w:r>
      <w:r>
        <w:br/>
        <w:t>Výpočet poplatku</w:t>
      </w:r>
    </w:p>
    <w:p w14:paraId="4CA4CA14" w14:textId="77777777" w:rsidR="00EB4C7D" w:rsidRDefault="00D602D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E95028" w14:textId="77777777" w:rsidR="00EB4C7D" w:rsidRDefault="00D602D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9B50823" w14:textId="77777777" w:rsidR="00EB4C7D" w:rsidRDefault="00D602D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1061F5A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2E9D74" w14:textId="77777777" w:rsidR="004C16A6" w:rsidRDefault="004C16A6" w:rsidP="005C382F">
      <w:pPr>
        <w:jc w:val="center"/>
        <w:rPr>
          <w:rFonts w:ascii="Arial" w:hAnsi="Arial" w:cs="Arial"/>
          <w:bCs/>
          <w:i/>
          <w:noProof/>
          <w:color w:val="FF0000"/>
        </w:rPr>
      </w:pPr>
    </w:p>
    <w:p w14:paraId="10DC441E" w14:textId="31CB23F1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Čl. 7</w:t>
      </w:r>
    </w:p>
    <w:p w14:paraId="6D2DEA91" w14:textId="77777777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Splatnost poplatku</w:t>
      </w:r>
    </w:p>
    <w:p w14:paraId="158CBB4F" w14:textId="5FBC9F0B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(1)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 odvede vybraný poplatek správci poplatku nejpozději do 30. září příslušného kalendářního roku. </w:t>
      </w:r>
    </w:p>
    <w:p w14:paraId="667552AB" w14:textId="1806D62F" w:rsidR="00B97820" w:rsidRPr="004C16A6" w:rsidRDefault="005C382F" w:rsidP="00B97820">
      <w:pPr>
        <w:widowControl w:val="0"/>
        <w:suppressAutoHyphens w:val="0"/>
        <w:autoSpaceDE w:val="0"/>
        <w:adjustRightInd w:val="0"/>
        <w:spacing w:before="120" w:after="60" w:line="264" w:lineRule="auto"/>
        <w:jc w:val="both"/>
        <w:textAlignment w:val="auto"/>
        <w:rPr>
          <w:rFonts w:ascii="Arial" w:hAnsi="Arial" w:cs="Arial"/>
          <w:vertAlign w:val="superscript"/>
          <w:lang w:val="x-none"/>
        </w:rPr>
      </w:pPr>
      <w:r w:rsidRPr="004C16A6">
        <w:rPr>
          <w:rFonts w:ascii="Arial" w:hAnsi="Arial" w:cs="Arial"/>
          <w:bCs/>
          <w:i/>
          <w:noProof/>
        </w:rPr>
        <w:t>(2)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poplatku, který nabyl postavení plátce poplatku po datu uvedeném v odstavci 1, odvede vybraný poplatek nejpozději do </w:t>
      </w:r>
      <w:r w:rsidR="00B97820" w:rsidRPr="004C16A6">
        <w:rPr>
          <w:rFonts w:ascii="Arial" w:hAnsi="Arial" w:cs="Arial"/>
          <w:bCs/>
          <w:i/>
          <w:noProof/>
        </w:rPr>
        <w:t xml:space="preserve">15. dnů od podání ohlášení. </w:t>
      </w:r>
    </w:p>
    <w:p w14:paraId="52FA7846" w14:textId="3DF1514C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</w:p>
    <w:p w14:paraId="6DE50692" w14:textId="61F3E6B0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(3)</w:t>
      </w:r>
      <w:r w:rsidRPr="004C16A6">
        <w:rPr>
          <w:rFonts w:ascii="Arial" w:hAnsi="Arial" w:cs="Arial"/>
          <w:bCs/>
          <w:i/>
          <w:noProof/>
        </w:rPr>
        <w:tab/>
        <w:t xml:space="preserve">Lhůta pro odvedení poplatku neskončí plátci poplatku dříve než lhůta pro podání ohlášení podle čl. </w:t>
      </w:r>
      <w:r w:rsidR="00B97820" w:rsidRPr="004C16A6">
        <w:rPr>
          <w:rFonts w:ascii="Arial" w:hAnsi="Arial" w:cs="Arial"/>
          <w:bCs/>
          <w:i/>
          <w:noProof/>
        </w:rPr>
        <w:t>3</w:t>
      </w:r>
      <w:r w:rsidRPr="004C16A6">
        <w:rPr>
          <w:rFonts w:ascii="Arial" w:hAnsi="Arial" w:cs="Arial"/>
          <w:bCs/>
          <w:i/>
          <w:noProof/>
        </w:rPr>
        <w:t xml:space="preserve"> odst.</w:t>
      </w:r>
      <w:r w:rsidR="00B97820" w:rsidRPr="004C16A6">
        <w:rPr>
          <w:rFonts w:ascii="Arial" w:hAnsi="Arial" w:cs="Arial"/>
          <w:bCs/>
          <w:i/>
          <w:noProof/>
        </w:rPr>
        <w:t xml:space="preserve"> 1 </w:t>
      </w:r>
      <w:r w:rsidRPr="004C16A6">
        <w:rPr>
          <w:rFonts w:ascii="Arial" w:hAnsi="Arial" w:cs="Arial"/>
          <w:bCs/>
          <w:i/>
          <w:noProof/>
        </w:rPr>
        <w:t xml:space="preserve">této vyhlášky. </w:t>
      </w:r>
    </w:p>
    <w:p w14:paraId="0639F386" w14:textId="49205D47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(4)</w:t>
      </w:r>
      <w:r w:rsidRPr="004C16A6">
        <w:rPr>
          <w:rFonts w:ascii="Arial" w:hAnsi="Arial" w:cs="Arial"/>
          <w:bCs/>
          <w:i/>
          <w:noProof/>
        </w:rPr>
        <w:tab/>
        <w:t>Není-li plátce poplatku, zaplatí poplatek ve lhůtě podle odstavce 1, 2 nebo 3 poplatník.</w:t>
      </w:r>
    </w:p>
    <w:p w14:paraId="79A74881" w14:textId="77777777" w:rsidR="00B97820" w:rsidRPr="004C16A6" w:rsidRDefault="00B97820" w:rsidP="005C382F">
      <w:pPr>
        <w:jc w:val="both"/>
        <w:rPr>
          <w:rFonts w:ascii="Arial" w:hAnsi="Arial" w:cs="Arial"/>
          <w:bCs/>
          <w:i/>
          <w:noProof/>
        </w:rPr>
      </w:pPr>
    </w:p>
    <w:p w14:paraId="3D6DA949" w14:textId="77777777" w:rsidR="00EB4C7D" w:rsidRDefault="00D602D9">
      <w:pPr>
        <w:pStyle w:val="Nadpis2"/>
      </w:pPr>
      <w:r>
        <w:t>Čl. 8</w:t>
      </w:r>
      <w:r>
        <w:br/>
        <w:t>Přechodné a zrušovací ustanovení</w:t>
      </w:r>
    </w:p>
    <w:p w14:paraId="33042B04" w14:textId="77777777" w:rsidR="00EB4C7D" w:rsidRDefault="00D602D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F2F598" w14:textId="56B427B1" w:rsidR="00EB4C7D" w:rsidRDefault="00D602D9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0B4822">
        <w:t>4</w:t>
      </w:r>
      <w:r>
        <w:t>, o</w:t>
      </w:r>
      <w:r w:rsidR="000B4822">
        <w:t xml:space="preserve"> místním</w:t>
      </w:r>
      <w:r>
        <w:t xml:space="preserve"> poplatku za </w:t>
      </w:r>
      <w:r w:rsidR="000B4822">
        <w:t xml:space="preserve">odkládání </w:t>
      </w:r>
      <w:r>
        <w:t>komunální</w:t>
      </w:r>
      <w:r w:rsidR="000B4822">
        <w:t>ho</w:t>
      </w:r>
      <w:r>
        <w:t xml:space="preserve"> odpad</w:t>
      </w:r>
      <w:r w:rsidR="000B4822">
        <w:t>u z nemovité věci</w:t>
      </w:r>
      <w:r>
        <w:t xml:space="preserve">, ze dne </w:t>
      </w:r>
      <w:r w:rsidR="000B4822">
        <w:t>22</w:t>
      </w:r>
      <w:r>
        <w:t>.</w:t>
      </w:r>
      <w:r w:rsidR="000B4822">
        <w:t>prosince</w:t>
      </w:r>
      <w:r>
        <w:t xml:space="preserve"> 202</w:t>
      </w:r>
      <w:r w:rsidR="000B4822">
        <w:t>3</w:t>
      </w:r>
      <w:r>
        <w:t>.</w:t>
      </w:r>
    </w:p>
    <w:p w14:paraId="044CFB7F" w14:textId="287D8011" w:rsidR="000B4822" w:rsidRDefault="000B4822" w:rsidP="000B4822">
      <w:pPr>
        <w:pStyle w:val="Odstavec"/>
        <w:numPr>
          <w:ilvl w:val="0"/>
          <w:numId w:val="1"/>
        </w:numPr>
      </w:pPr>
      <w:r>
        <w:t>Zrušuje se obecně závazná vyhláška č. </w:t>
      </w:r>
      <w:r>
        <w:t>6</w:t>
      </w:r>
      <w:r>
        <w:t>/2024, o místním poplatku za odkládání komunálního odpadu z nemovité věci, ze dne 26. září 2024.</w:t>
      </w:r>
    </w:p>
    <w:p w14:paraId="71A5E4F2" w14:textId="77777777" w:rsidR="000B4822" w:rsidRDefault="000B4822" w:rsidP="000B4822">
      <w:pPr>
        <w:pStyle w:val="Odstavec"/>
        <w:ind w:left="567"/>
      </w:pPr>
    </w:p>
    <w:p w14:paraId="20C4AA74" w14:textId="77777777" w:rsidR="00EB4C7D" w:rsidRDefault="00D602D9">
      <w:pPr>
        <w:pStyle w:val="Nadpis2"/>
      </w:pPr>
      <w:r>
        <w:t>Čl. 9</w:t>
      </w:r>
      <w:r>
        <w:br/>
        <w:t>Účinnost</w:t>
      </w:r>
    </w:p>
    <w:p w14:paraId="33CBDCA3" w14:textId="77777777" w:rsidR="00EB4C7D" w:rsidRDefault="00D602D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4C7D" w14:paraId="15CEDF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C3168" w14:textId="77777777" w:rsidR="00EB4C7D" w:rsidRDefault="00D602D9">
            <w:pPr>
              <w:pStyle w:val="PodpisovePole"/>
            </w:pPr>
            <w:r>
              <w:t>Mgr. Martin Gruber Dis.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0349A" w14:textId="77777777" w:rsidR="00EB4C7D" w:rsidRDefault="00D602D9">
            <w:pPr>
              <w:pStyle w:val="PodpisovePole"/>
            </w:pPr>
            <w:r>
              <w:t>Ing. Martin Drbal v. r.</w:t>
            </w:r>
            <w:r>
              <w:br/>
              <w:t xml:space="preserve"> místostarosta</w:t>
            </w:r>
          </w:p>
        </w:tc>
      </w:tr>
      <w:tr w:rsidR="00EB4C7D" w14:paraId="7D6FC1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8466A" w14:textId="77777777" w:rsidR="00EB4C7D" w:rsidRDefault="00EB4C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21D03" w14:textId="77777777" w:rsidR="00EB4C7D" w:rsidRDefault="00EB4C7D">
            <w:pPr>
              <w:pStyle w:val="PodpisovePole"/>
            </w:pPr>
          </w:p>
        </w:tc>
      </w:tr>
    </w:tbl>
    <w:p w14:paraId="434CE137" w14:textId="77777777" w:rsidR="00D602D9" w:rsidRDefault="00D602D9"/>
    <w:sectPr w:rsidR="00D602D9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A3368" w14:textId="77777777" w:rsidR="006F50CE" w:rsidRDefault="006F50CE">
      <w:r>
        <w:separator/>
      </w:r>
    </w:p>
  </w:endnote>
  <w:endnote w:type="continuationSeparator" w:id="0">
    <w:p w14:paraId="4532140B" w14:textId="77777777" w:rsidR="006F50CE" w:rsidRDefault="006F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439707"/>
      <w:docPartObj>
        <w:docPartGallery w:val="Page Numbers (Bottom of Page)"/>
        <w:docPartUnique/>
      </w:docPartObj>
    </w:sdtPr>
    <w:sdtContent>
      <w:p w14:paraId="52E6579A" w14:textId="6A548C64" w:rsidR="009C4842" w:rsidRDefault="009C48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5A35A" w14:textId="77777777" w:rsidR="009C4842" w:rsidRDefault="009C4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703DA" w14:textId="77777777" w:rsidR="006F50CE" w:rsidRDefault="006F50CE">
      <w:r>
        <w:rPr>
          <w:color w:val="000000"/>
        </w:rPr>
        <w:separator/>
      </w:r>
    </w:p>
  </w:footnote>
  <w:footnote w:type="continuationSeparator" w:id="0">
    <w:p w14:paraId="4B7E7ED4" w14:textId="77777777" w:rsidR="006F50CE" w:rsidRDefault="006F50CE">
      <w:r>
        <w:continuationSeparator/>
      </w:r>
    </w:p>
  </w:footnote>
  <w:footnote w:id="1">
    <w:p w14:paraId="08244F8E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0CC270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8C4A4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90B89D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AB418C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A2881E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F0C90C6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01AE08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225A5B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95245AC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447D78A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3248CD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3D0248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B8D51A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06EED"/>
    <w:multiLevelType w:val="multilevel"/>
    <w:tmpl w:val="9EB2A5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34434249">
    <w:abstractNumId w:val="0"/>
  </w:num>
  <w:num w:numId="2" w16cid:durableId="263997178">
    <w:abstractNumId w:val="0"/>
    <w:lvlOverride w:ilvl="0">
      <w:startOverride w:val="1"/>
    </w:lvlOverride>
  </w:num>
  <w:num w:numId="3" w16cid:durableId="355078079">
    <w:abstractNumId w:val="0"/>
    <w:lvlOverride w:ilvl="0">
      <w:startOverride w:val="1"/>
    </w:lvlOverride>
  </w:num>
  <w:num w:numId="4" w16cid:durableId="1595166006">
    <w:abstractNumId w:val="0"/>
    <w:lvlOverride w:ilvl="0">
      <w:startOverride w:val="1"/>
    </w:lvlOverride>
  </w:num>
  <w:num w:numId="5" w16cid:durableId="595481680">
    <w:abstractNumId w:val="0"/>
    <w:lvlOverride w:ilvl="0">
      <w:startOverride w:val="1"/>
    </w:lvlOverride>
  </w:num>
  <w:num w:numId="6" w16cid:durableId="95752677">
    <w:abstractNumId w:val="0"/>
    <w:lvlOverride w:ilvl="0">
      <w:startOverride w:val="1"/>
    </w:lvlOverride>
  </w:num>
  <w:num w:numId="7" w16cid:durableId="1698314417">
    <w:abstractNumId w:val="0"/>
    <w:lvlOverride w:ilvl="0">
      <w:startOverride w:val="1"/>
    </w:lvlOverride>
  </w:num>
  <w:num w:numId="8" w16cid:durableId="979531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497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7D"/>
    <w:rsid w:val="0009487D"/>
    <w:rsid w:val="000B4822"/>
    <w:rsid w:val="00246068"/>
    <w:rsid w:val="00312013"/>
    <w:rsid w:val="004C16A6"/>
    <w:rsid w:val="005C382F"/>
    <w:rsid w:val="006700C4"/>
    <w:rsid w:val="006F50CE"/>
    <w:rsid w:val="00731679"/>
    <w:rsid w:val="008133A2"/>
    <w:rsid w:val="00835A49"/>
    <w:rsid w:val="008D7EEE"/>
    <w:rsid w:val="009C4842"/>
    <w:rsid w:val="00AF7F77"/>
    <w:rsid w:val="00B97820"/>
    <w:rsid w:val="00BE26EA"/>
    <w:rsid w:val="00D602D9"/>
    <w:rsid w:val="00E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500"/>
  <w15:docId w15:val="{2D1444FC-B608-42F3-84E5-AE6062AA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48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48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Martin Gruber</cp:lastModifiedBy>
  <cp:revision>5</cp:revision>
  <cp:lastPrinted>2024-10-01T11:06:00Z</cp:lastPrinted>
  <dcterms:created xsi:type="dcterms:W3CDTF">2024-10-01T11:01:00Z</dcterms:created>
  <dcterms:modified xsi:type="dcterms:W3CDTF">2024-11-06T12:18:00Z</dcterms:modified>
</cp:coreProperties>
</file>