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6C8F6" w14:textId="4A9767E9" w:rsidR="005D5EC7" w:rsidRPr="006730E4" w:rsidRDefault="005D5EC7" w:rsidP="005D5EC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  <w14:ligatures w14:val="standardContextual"/>
        </w:rPr>
      </w:pPr>
      <w:r w:rsidRPr="006730E4">
        <w:rPr>
          <w:rFonts w:ascii="Arial" w:eastAsiaTheme="minorHAnsi" w:hAnsi="Arial" w:cs="Arial"/>
          <w:b/>
          <w:bCs/>
          <w:sz w:val="28"/>
          <w:szCs w:val="28"/>
          <w:lang w:eastAsia="en-US"/>
          <w14:ligatures w14:val="standardContextual"/>
        </w:rPr>
        <w:t xml:space="preserve">Příloha č. 2 </w:t>
      </w:r>
      <w:r w:rsidR="006730E4">
        <w:rPr>
          <w:rFonts w:ascii="Arial" w:eastAsiaTheme="minorHAnsi" w:hAnsi="Arial" w:cs="Arial"/>
          <w:b/>
          <w:bCs/>
          <w:sz w:val="28"/>
          <w:szCs w:val="28"/>
          <w:lang w:eastAsia="en-US"/>
          <w14:ligatures w14:val="standardContextual"/>
        </w:rPr>
        <w:t xml:space="preserve">- </w:t>
      </w:r>
      <w:r w:rsidRPr="006730E4">
        <w:rPr>
          <w:rFonts w:ascii="Arial" w:eastAsiaTheme="minorHAnsi" w:hAnsi="Arial" w:cs="Arial"/>
          <w:b/>
          <w:bCs/>
          <w:sz w:val="28"/>
          <w:szCs w:val="28"/>
          <w:lang w:eastAsia="en-US"/>
          <w14:ligatures w14:val="standardContextual"/>
        </w:rPr>
        <w:t xml:space="preserve">Ceník a provozní doba placeného stání </w:t>
      </w:r>
    </w:p>
    <w:p w14:paraId="1CB86E92" w14:textId="77777777" w:rsidR="005D5EC7" w:rsidRPr="006730E4" w:rsidRDefault="005D5EC7" w:rsidP="005D5EC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  <w14:ligatures w14:val="standardContextual"/>
        </w:rPr>
      </w:pPr>
      <w:r w:rsidRPr="006730E4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</w:p>
    <w:p w14:paraId="447EF79F" w14:textId="77777777" w:rsidR="005D5EC7" w:rsidRPr="006730E4" w:rsidRDefault="005D5EC7" w:rsidP="005D5EC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</w:p>
    <w:p w14:paraId="6A76A26A" w14:textId="4B1ACF8F" w:rsidR="005D5EC7" w:rsidRDefault="005D5EC7" w:rsidP="003E3DB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  <w:r w:rsidRPr="006730E4">
        <w:rPr>
          <w:rFonts w:ascii="Arial" w:eastAsiaTheme="minorHAnsi" w:hAnsi="Arial" w:cs="Arial"/>
          <w:b/>
          <w:bCs/>
          <w:lang w:eastAsia="en-US"/>
          <w14:ligatures w14:val="standardContextual"/>
        </w:rPr>
        <w:t>I. Provozní doba</w:t>
      </w:r>
    </w:p>
    <w:p w14:paraId="3AB99DF3" w14:textId="77777777" w:rsidR="00CE4017" w:rsidRDefault="00CE4017" w:rsidP="006730E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4764B5A3" w14:textId="0C372601" w:rsidR="005D5EC7" w:rsidRPr="006730E4" w:rsidRDefault="005D5EC7" w:rsidP="006730E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6730E4">
        <w:rPr>
          <w:rFonts w:ascii="Arial" w:eastAsiaTheme="minorHAnsi" w:hAnsi="Arial" w:cs="Arial"/>
          <w:lang w:eastAsia="en-US"/>
          <w14:ligatures w14:val="standardContextual"/>
        </w:rPr>
        <w:t>Placené stání na úsecích místních komunikací vymezených v Příloze č. 1 tohoto</w:t>
      </w:r>
      <w:r w:rsidR="006730E4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6730E4">
        <w:rPr>
          <w:rFonts w:ascii="Arial" w:eastAsiaTheme="minorHAnsi" w:hAnsi="Arial" w:cs="Arial"/>
          <w:lang w:eastAsia="en-US"/>
          <w14:ligatures w14:val="standardContextual"/>
        </w:rPr>
        <w:t xml:space="preserve">nařízení se uplatňuje: </w:t>
      </w:r>
    </w:p>
    <w:p w14:paraId="04BF60E0" w14:textId="77777777" w:rsidR="005D5EC7" w:rsidRPr="006730E4" w:rsidRDefault="005D5EC7" w:rsidP="005D5EC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  <w14:ligatures w14:val="standardContextual"/>
        </w:rPr>
      </w:pPr>
    </w:p>
    <w:p w14:paraId="7D9900DB" w14:textId="43451107" w:rsidR="005D5EC7" w:rsidRPr="006730E4" w:rsidRDefault="005D5EC7" w:rsidP="005D5EC7">
      <w:pPr>
        <w:autoSpaceDE w:val="0"/>
        <w:autoSpaceDN w:val="0"/>
        <w:adjustRightInd w:val="0"/>
        <w:ind w:firstLine="708"/>
        <w:rPr>
          <w:rFonts w:ascii="Arial" w:eastAsiaTheme="minorHAnsi" w:hAnsi="Arial" w:cs="Arial"/>
          <w:lang w:eastAsia="en-US"/>
          <w14:ligatures w14:val="standardContextual"/>
        </w:rPr>
      </w:pPr>
      <w:r w:rsidRPr="006730E4">
        <w:rPr>
          <w:rFonts w:ascii="Arial" w:eastAsiaTheme="minorHAnsi" w:hAnsi="Arial" w:cs="Arial"/>
          <w:lang w:eastAsia="en-US"/>
          <w14:ligatures w14:val="standardContextual"/>
        </w:rPr>
        <w:t>•  V období:</w:t>
      </w:r>
      <w:r w:rsidR="006730E4">
        <w:rPr>
          <w:rFonts w:ascii="Arial" w:eastAsiaTheme="minorHAnsi" w:hAnsi="Arial" w:cs="Arial"/>
          <w:lang w:eastAsia="en-US"/>
          <w14:ligatures w14:val="standardContextual"/>
        </w:rPr>
        <w:tab/>
      </w:r>
      <w:r w:rsidRPr="006730E4">
        <w:rPr>
          <w:rFonts w:ascii="Arial" w:eastAsiaTheme="minorHAnsi" w:hAnsi="Arial" w:cs="Arial"/>
          <w:lang w:eastAsia="en-US"/>
          <w14:ligatures w14:val="standardContextual"/>
        </w:rPr>
        <w:t xml:space="preserve">od 1. června do 31. srpna kalendářního roku </w:t>
      </w:r>
    </w:p>
    <w:p w14:paraId="71C2DF2C" w14:textId="7A2DC9A3" w:rsidR="005D5EC7" w:rsidRPr="006730E4" w:rsidRDefault="005D5EC7" w:rsidP="005D5EC7">
      <w:pPr>
        <w:autoSpaceDE w:val="0"/>
        <w:autoSpaceDN w:val="0"/>
        <w:adjustRightInd w:val="0"/>
        <w:ind w:firstLine="708"/>
        <w:rPr>
          <w:rFonts w:ascii="Arial" w:eastAsiaTheme="minorHAnsi" w:hAnsi="Arial" w:cs="Arial"/>
          <w:lang w:eastAsia="en-US"/>
          <w14:ligatures w14:val="standardContextual"/>
        </w:rPr>
      </w:pPr>
      <w:r w:rsidRPr="006730E4">
        <w:rPr>
          <w:rFonts w:ascii="Arial" w:eastAsiaTheme="minorHAnsi" w:hAnsi="Arial" w:cs="Arial"/>
          <w:lang w:eastAsia="en-US"/>
          <w14:ligatures w14:val="standardContextual"/>
        </w:rPr>
        <w:t>•  V čase:</w:t>
      </w:r>
      <w:r w:rsidR="006730E4">
        <w:rPr>
          <w:rFonts w:ascii="Arial" w:eastAsiaTheme="minorHAnsi" w:hAnsi="Arial" w:cs="Arial"/>
          <w:lang w:eastAsia="en-US"/>
          <w14:ligatures w14:val="standardContextual"/>
        </w:rPr>
        <w:tab/>
      </w:r>
      <w:r w:rsidRPr="006730E4">
        <w:rPr>
          <w:rFonts w:ascii="Arial" w:eastAsiaTheme="minorHAnsi" w:hAnsi="Arial" w:cs="Arial"/>
          <w:lang w:eastAsia="en-US"/>
          <w14:ligatures w14:val="standardContextual"/>
        </w:rPr>
        <w:t xml:space="preserve">denně od 10:00 hodin do 20:00 hodin </w:t>
      </w:r>
    </w:p>
    <w:p w14:paraId="515A1A96" w14:textId="77777777" w:rsidR="005D5EC7" w:rsidRPr="006730E4" w:rsidRDefault="005D5EC7" w:rsidP="005D5EC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  <w14:ligatures w14:val="standardContextual"/>
        </w:rPr>
      </w:pPr>
    </w:p>
    <w:p w14:paraId="5BF88083" w14:textId="2D7A218C" w:rsidR="005D5EC7" w:rsidRPr="006730E4" w:rsidRDefault="005D5EC7" w:rsidP="005D5EC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  <w14:ligatures w14:val="standardContextual"/>
        </w:rPr>
      </w:pPr>
      <w:r w:rsidRPr="006730E4">
        <w:rPr>
          <w:rFonts w:ascii="Arial" w:eastAsiaTheme="minorHAnsi" w:hAnsi="Arial" w:cs="Arial"/>
          <w:lang w:eastAsia="en-US"/>
          <w14:ligatures w14:val="standardContextual"/>
        </w:rPr>
        <w:t xml:space="preserve">Úhrada parkovného bude probíhat v pokladně koupaliště. </w:t>
      </w:r>
    </w:p>
    <w:p w14:paraId="6FADF2AF" w14:textId="499D6707" w:rsidR="005D5EC7" w:rsidRPr="006730E4" w:rsidRDefault="005D5EC7" w:rsidP="006730E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730E4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</w:p>
    <w:p w14:paraId="37F595BF" w14:textId="77777777" w:rsidR="00CE4017" w:rsidRDefault="00CE4017" w:rsidP="006730E4">
      <w:pPr>
        <w:spacing w:after="160" w:line="278" w:lineRule="auto"/>
        <w:jc w:val="center"/>
        <w:rPr>
          <w:rFonts w:ascii="Arial" w:hAnsi="Arial" w:cs="Arial"/>
          <w:b/>
          <w:bCs/>
        </w:rPr>
      </w:pPr>
    </w:p>
    <w:p w14:paraId="129D761E" w14:textId="77777777" w:rsidR="00CE4017" w:rsidRDefault="00CE4017" w:rsidP="006730E4">
      <w:pPr>
        <w:spacing w:after="160" w:line="278" w:lineRule="auto"/>
        <w:jc w:val="center"/>
        <w:rPr>
          <w:rFonts w:ascii="Arial" w:hAnsi="Arial" w:cs="Arial"/>
          <w:b/>
          <w:bCs/>
        </w:rPr>
      </w:pPr>
    </w:p>
    <w:p w14:paraId="0A13A8DA" w14:textId="723A0C45" w:rsidR="006730E4" w:rsidRDefault="00144BB6" w:rsidP="006730E4">
      <w:pPr>
        <w:spacing w:after="160" w:line="278" w:lineRule="auto"/>
        <w:jc w:val="center"/>
        <w:rPr>
          <w:rFonts w:ascii="Arial" w:hAnsi="Arial" w:cs="Arial"/>
          <w:b/>
          <w:bCs/>
        </w:rPr>
      </w:pPr>
      <w:r w:rsidRPr="006730E4">
        <w:rPr>
          <w:rFonts w:ascii="Arial" w:hAnsi="Arial" w:cs="Arial"/>
          <w:b/>
          <w:bCs/>
        </w:rPr>
        <w:t>II. Ceník parkovného</w:t>
      </w:r>
    </w:p>
    <w:p w14:paraId="17B2980C" w14:textId="2497F713" w:rsidR="00144BB6" w:rsidRDefault="00CE4017" w:rsidP="006730E4">
      <w:p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44BB6" w:rsidRPr="006730E4">
        <w:rPr>
          <w:rFonts w:ascii="Arial" w:hAnsi="Arial" w:cs="Arial"/>
        </w:rPr>
        <w:t xml:space="preserve">ýše ceny za stání silničního motorového vozidla </w:t>
      </w:r>
      <w:r>
        <w:rPr>
          <w:rFonts w:ascii="Arial" w:hAnsi="Arial" w:cs="Arial"/>
        </w:rPr>
        <w:t xml:space="preserve">(včetně motocyklu) </w:t>
      </w:r>
      <w:r w:rsidR="00144BB6" w:rsidRPr="006730E4">
        <w:rPr>
          <w:rFonts w:ascii="Arial" w:hAnsi="Arial" w:cs="Arial"/>
        </w:rPr>
        <w:t>v</w:t>
      </w:r>
      <w:r w:rsidR="003E3DB9" w:rsidRPr="006730E4">
        <w:rPr>
          <w:rFonts w:ascii="Arial" w:hAnsi="Arial" w:cs="Arial"/>
        </w:rPr>
        <w:t> </w:t>
      </w:r>
      <w:r w:rsidR="00144BB6" w:rsidRPr="006730E4">
        <w:rPr>
          <w:rFonts w:ascii="Arial" w:hAnsi="Arial" w:cs="Arial"/>
        </w:rPr>
        <w:t>rámc</w:t>
      </w:r>
      <w:r w:rsidR="003E3DB9" w:rsidRPr="006730E4">
        <w:rPr>
          <w:rFonts w:ascii="Arial" w:hAnsi="Arial" w:cs="Arial"/>
        </w:rPr>
        <w:t xml:space="preserve">i </w:t>
      </w:r>
      <w:r w:rsidR="00144BB6" w:rsidRPr="006730E4">
        <w:rPr>
          <w:rFonts w:ascii="Arial" w:hAnsi="Arial" w:cs="Arial"/>
        </w:rPr>
        <w:t>provozní doby činí:</w:t>
      </w:r>
    </w:p>
    <w:p w14:paraId="7A7EEC3E" w14:textId="77777777" w:rsidR="00CE4017" w:rsidRPr="006730E4" w:rsidRDefault="00CE4017" w:rsidP="006730E4">
      <w:pPr>
        <w:spacing w:after="160" w:line="278" w:lineRule="auto"/>
        <w:jc w:val="both"/>
        <w:rPr>
          <w:rFonts w:ascii="Arial" w:hAnsi="Arial" w:cs="Arial"/>
        </w:rPr>
      </w:pPr>
    </w:p>
    <w:p w14:paraId="5D5A417B" w14:textId="6497A28A" w:rsidR="0062201B" w:rsidRPr="006730E4" w:rsidRDefault="0062201B" w:rsidP="0062201B">
      <w:pPr>
        <w:rPr>
          <w:rFonts w:ascii="Arial" w:hAnsi="Arial" w:cs="Arial"/>
          <w:b/>
          <w:bCs/>
        </w:rPr>
      </w:pPr>
      <w:r w:rsidRPr="006730E4">
        <w:rPr>
          <w:rFonts w:ascii="Arial" w:hAnsi="Arial" w:cs="Arial"/>
          <w:b/>
          <w:bCs/>
        </w:rPr>
        <w:t xml:space="preserve">a) </w:t>
      </w:r>
      <w:r w:rsidR="006730E4" w:rsidRPr="006730E4">
        <w:rPr>
          <w:rFonts w:ascii="Arial" w:hAnsi="Arial" w:cs="Arial"/>
          <w:b/>
          <w:bCs/>
        </w:rPr>
        <w:t>Denní</w:t>
      </w:r>
      <w:r w:rsidRPr="006730E4">
        <w:rPr>
          <w:rFonts w:ascii="Arial" w:hAnsi="Arial" w:cs="Arial"/>
          <w:b/>
          <w:bCs/>
        </w:rPr>
        <w:t xml:space="preserve"> tarif – cena za jeden kalendářní den</w:t>
      </w:r>
      <w:r w:rsidR="00CE4017">
        <w:rPr>
          <w:rFonts w:ascii="Arial" w:hAnsi="Arial" w:cs="Arial"/>
          <w:b/>
          <w:bCs/>
        </w:rPr>
        <w:t>: 50 Kč</w:t>
      </w:r>
    </w:p>
    <w:p w14:paraId="128E8743" w14:textId="77777777" w:rsidR="0062201B" w:rsidRPr="006730E4" w:rsidRDefault="0062201B" w:rsidP="0062201B">
      <w:pPr>
        <w:rPr>
          <w:rFonts w:ascii="Arial" w:hAnsi="Arial" w:cs="Arial"/>
          <w:b/>
          <w:bCs/>
        </w:rPr>
      </w:pPr>
    </w:p>
    <w:p w14:paraId="0A4C84A1" w14:textId="77777777" w:rsidR="003E3DB9" w:rsidRPr="006730E4" w:rsidRDefault="003E3DB9" w:rsidP="00EB03FD">
      <w:pPr>
        <w:rPr>
          <w:rFonts w:ascii="Arial" w:hAnsi="Arial" w:cs="Arial"/>
          <w:b/>
          <w:bCs/>
        </w:rPr>
      </w:pPr>
    </w:p>
    <w:p w14:paraId="5C3D9E85" w14:textId="47E40124" w:rsidR="00EB03FD" w:rsidRPr="006730E4" w:rsidRDefault="003E3DB9" w:rsidP="00EB03FD">
      <w:pPr>
        <w:rPr>
          <w:rFonts w:ascii="Arial" w:hAnsi="Arial" w:cs="Arial"/>
          <w:b/>
          <w:bCs/>
        </w:rPr>
      </w:pPr>
      <w:r w:rsidRPr="006730E4">
        <w:rPr>
          <w:rFonts w:ascii="Arial" w:hAnsi="Arial" w:cs="Arial"/>
          <w:b/>
          <w:bCs/>
        </w:rPr>
        <w:t>b</w:t>
      </w:r>
      <w:r w:rsidR="00EB03FD" w:rsidRPr="006730E4">
        <w:rPr>
          <w:rFonts w:ascii="Arial" w:hAnsi="Arial" w:cs="Arial"/>
          <w:b/>
          <w:bCs/>
        </w:rPr>
        <w:t xml:space="preserve">) </w:t>
      </w:r>
      <w:r w:rsidR="006730E4" w:rsidRPr="006730E4">
        <w:rPr>
          <w:rFonts w:ascii="Arial" w:hAnsi="Arial" w:cs="Arial"/>
          <w:b/>
          <w:bCs/>
        </w:rPr>
        <w:t>Měsíční</w:t>
      </w:r>
      <w:r w:rsidRPr="006730E4">
        <w:rPr>
          <w:rFonts w:ascii="Arial" w:hAnsi="Arial" w:cs="Arial"/>
          <w:b/>
          <w:bCs/>
        </w:rPr>
        <w:t xml:space="preserve"> t</w:t>
      </w:r>
      <w:r w:rsidR="00EB03FD" w:rsidRPr="006730E4">
        <w:rPr>
          <w:rFonts w:ascii="Arial" w:hAnsi="Arial" w:cs="Arial"/>
          <w:b/>
          <w:bCs/>
        </w:rPr>
        <w:t>arif na dobu 1 měsíce: 500 Kč</w:t>
      </w:r>
    </w:p>
    <w:p w14:paraId="42F73041" w14:textId="77777777" w:rsidR="00EB03FD" w:rsidRPr="006730E4" w:rsidRDefault="00EB03FD" w:rsidP="00EB03FD">
      <w:pPr>
        <w:rPr>
          <w:rFonts w:ascii="Arial" w:hAnsi="Arial" w:cs="Arial"/>
          <w:b/>
          <w:bCs/>
        </w:rPr>
      </w:pPr>
    </w:p>
    <w:p w14:paraId="20030296" w14:textId="22B43D5F" w:rsidR="00EB03FD" w:rsidRPr="006730E4" w:rsidRDefault="00EB03FD" w:rsidP="0037055B">
      <w:pPr>
        <w:spacing w:after="160"/>
        <w:jc w:val="both"/>
        <w:rPr>
          <w:rFonts w:ascii="Arial" w:hAnsi="Arial" w:cs="Arial"/>
        </w:rPr>
      </w:pPr>
      <w:r w:rsidRPr="006730E4">
        <w:rPr>
          <w:rFonts w:ascii="Arial" w:hAnsi="Arial" w:cs="Arial"/>
        </w:rPr>
        <w:t>Výše uvedený tarif je sjednáván jako plovoucí</w:t>
      </w:r>
      <w:r w:rsidR="006730E4">
        <w:rPr>
          <w:rFonts w:ascii="Arial" w:hAnsi="Arial" w:cs="Arial"/>
        </w:rPr>
        <w:t>, t</w:t>
      </w:r>
      <w:r w:rsidRPr="006730E4">
        <w:rPr>
          <w:rFonts w:ascii="Arial" w:hAnsi="Arial" w:cs="Arial"/>
        </w:rPr>
        <w:t>o znamená, že začíná běžet od přesně stanoveného data (dne, hodiny). Zaplacení ceny za stání na vymezených místních komunikacích se prokazuje elektronickou evidencí registrační značky vozidla v</w:t>
      </w:r>
      <w:r w:rsidR="006730E4">
        <w:rPr>
          <w:rFonts w:ascii="Arial" w:hAnsi="Arial" w:cs="Arial"/>
        </w:rPr>
        <w:t> </w:t>
      </w:r>
      <w:r w:rsidRPr="006730E4">
        <w:rPr>
          <w:rFonts w:ascii="Arial" w:hAnsi="Arial" w:cs="Arial"/>
        </w:rPr>
        <w:t>systému provozovatele a platí po dobu 1 měsíce. Nejedná se o tarif kalendářní.</w:t>
      </w:r>
    </w:p>
    <w:p w14:paraId="3E2632AB" w14:textId="77777777" w:rsidR="00CE4017" w:rsidRDefault="00CE4017" w:rsidP="00EB03FD">
      <w:pPr>
        <w:rPr>
          <w:rFonts w:ascii="Arial" w:hAnsi="Arial" w:cs="Arial"/>
          <w:b/>
          <w:bCs/>
        </w:rPr>
      </w:pPr>
    </w:p>
    <w:p w14:paraId="08612810" w14:textId="28436FD6" w:rsidR="00EB03FD" w:rsidRPr="006730E4" w:rsidRDefault="003E3DB9" w:rsidP="00EB03FD">
      <w:pPr>
        <w:rPr>
          <w:rFonts w:ascii="Arial" w:hAnsi="Arial" w:cs="Arial"/>
          <w:b/>
          <w:bCs/>
        </w:rPr>
      </w:pPr>
      <w:r w:rsidRPr="006730E4">
        <w:rPr>
          <w:rFonts w:ascii="Arial" w:hAnsi="Arial" w:cs="Arial"/>
          <w:b/>
          <w:bCs/>
        </w:rPr>
        <w:t>c</w:t>
      </w:r>
      <w:r w:rsidR="00EB03FD" w:rsidRPr="006730E4">
        <w:rPr>
          <w:rFonts w:ascii="Arial" w:hAnsi="Arial" w:cs="Arial"/>
          <w:b/>
          <w:bCs/>
        </w:rPr>
        <w:t xml:space="preserve">) </w:t>
      </w:r>
      <w:r w:rsidR="006730E4" w:rsidRPr="006730E4">
        <w:rPr>
          <w:rFonts w:ascii="Arial" w:hAnsi="Arial" w:cs="Arial"/>
          <w:b/>
          <w:bCs/>
        </w:rPr>
        <w:t>Sezonní</w:t>
      </w:r>
      <w:r w:rsidRPr="006730E4">
        <w:rPr>
          <w:rFonts w:ascii="Arial" w:hAnsi="Arial" w:cs="Arial"/>
          <w:b/>
          <w:bCs/>
        </w:rPr>
        <w:t xml:space="preserve"> t</w:t>
      </w:r>
      <w:r w:rsidR="00EB03FD" w:rsidRPr="006730E4">
        <w:rPr>
          <w:rFonts w:ascii="Arial" w:hAnsi="Arial" w:cs="Arial"/>
          <w:b/>
          <w:bCs/>
        </w:rPr>
        <w:t xml:space="preserve">arif </w:t>
      </w:r>
      <w:r w:rsidR="006730E4" w:rsidRPr="006730E4">
        <w:rPr>
          <w:rFonts w:ascii="Arial" w:hAnsi="Arial" w:cs="Arial"/>
          <w:b/>
          <w:bCs/>
        </w:rPr>
        <w:t>(01.06. – 31.08.)</w:t>
      </w:r>
      <w:r w:rsidR="00EB03FD" w:rsidRPr="006730E4">
        <w:rPr>
          <w:rFonts w:ascii="Arial" w:hAnsi="Arial" w:cs="Arial"/>
          <w:b/>
          <w:bCs/>
        </w:rPr>
        <w:t>: 1 500 Kč</w:t>
      </w:r>
    </w:p>
    <w:p w14:paraId="45C6C102" w14:textId="77777777" w:rsidR="006730E4" w:rsidRDefault="006730E4" w:rsidP="00EB03FD">
      <w:pPr>
        <w:rPr>
          <w:rFonts w:ascii="Arial" w:hAnsi="Arial" w:cs="Arial"/>
        </w:rPr>
      </w:pPr>
    </w:p>
    <w:p w14:paraId="7844710B" w14:textId="77777777" w:rsidR="006730E4" w:rsidRPr="006730E4" w:rsidRDefault="006730E4" w:rsidP="006730E4">
      <w:pPr>
        <w:jc w:val="both"/>
        <w:rPr>
          <w:rFonts w:ascii="Arial" w:hAnsi="Arial" w:cs="Arial"/>
        </w:rPr>
      </w:pPr>
      <w:r w:rsidRPr="006730E4">
        <w:rPr>
          <w:rFonts w:ascii="Arial" w:hAnsi="Arial" w:cs="Arial"/>
        </w:rPr>
        <w:t xml:space="preserve">Tarif platný po celou dobu letní sezóny, tzn. </w:t>
      </w:r>
      <w:r w:rsidRPr="006730E4">
        <w:rPr>
          <w:rFonts w:ascii="Arial" w:eastAsiaTheme="minorHAnsi" w:hAnsi="Arial" w:cs="Arial"/>
          <w:lang w:eastAsia="en-US"/>
          <w14:ligatures w14:val="standardContextual"/>
        </w:rPr>
        <w:t>od 1. června do 31. srpna příslušného kalendářního roku</w:t>
      </w:r>
      <w:r>
        <w:rPr>
          <w:rFonts w:ascii="Arial" w:eastAsiaTheme="minorHAnsi" w:hAnsi="Arial" w:cs="Arial"/>
          <w:lang w:eastAsia="en-US"/>
          <w14:ligatures w14:val="standardContextual"/>
        </w:rPr>
        <w:t xml:space="preserve">. </w:t>
      </w:r>
      <w:r w:rsidR="00EB03FD" w:rsidRPr="006730E4">
        <w:rPr>
          <w:rFonts w:ascii="Arial" w:hAnsi="Arial" w:cs="Arial"/>
        </w:rPr>
        <w:t xml:space="preserve">Uhrazená částka se nijak nekrátí ani nevrací </w:t>
      </w:r>
      <w:r>
        <w:rPr>
          <w:rFonts w:ascii="Arial" w:hAnsi="Arial" w:cs="Arial"/>
        </w:rPr>
        <w:t>(</w:t>
      </w:r>
      <w:r w:rsidR="00EB03FD" w:rsidRPr="006730E4">
        <w:rPr>
          <w:rFonts w:ascii="Arial" w:hAnsi="Arial" w:cs="Arial"/>
        </w:rPr>
        <w:t>a to ani poměrnou částí</w:t>
      </w:r>
      <w:r>
        <w:rPr>
          <w:rFonts w:ascii="Arial" w:hAnsi="Arial" w:cs="Arial"/>
        </w:rPr>
        <w:t>)</w:t>
      </w:r>
      <w:r w:rsidR="00EB03FD" w:rsidRPr="006730E4">
        <w:rPr>
          <w:rFonts w:ascii="Arial" w:hAnsi="Arial" w:cs="Arial"/>
        </w:rPr>
        <w:t xml:space="preserve"> v případě, že uživatel zahájí užívání placeného stání po začátku platnosti tarifu, nebo naopak ukončí užívání před uplynutím sjednané doby platnosti tarifu.</w:t>
      </w:r>
      <w:r>
        <w:rPr>
          <w:rFonts w:ascii="Arial" w:hAnsi="Arial" w:cs="Arial"/>
        </w:rPr>
        <w:t xml:space="preserve"> </w:t>
      </w:r>
      <w:r w:rsidRPr="006730E4">
        <w:rPr>
          <w:rFonts w:ascii="Arial" w:hAnsi="Arial" w:cs="Arial"/>
        </w:rPr>
        <w:t xml:space="preserve">Cena za zvýhodněné tarif je pevná dle tohoto nařízení a nelze proti ní započítávat již uhrazené denní parkovné z předchozího užívání. </w:t>
      </w:r>
    </w:p>
    <w:p w14:paraId="322EB230" w14:textId="77777777" w:rsidR="003E3DB9" w:rsidRDefault="003E3DB9" w:rsidP="006730E4">
      <w:pPr>
        <w:spacing w:after="160" w:line="278" w:lineRule="auto"/>
        <w:jc w:val="both"/>
        <w:rPr>
          <w:rFonts w:ascii="Arial" w:hAnsi="Arial" w:cs="Arial"/>
        </w:rPr>
      </w:pPr>
    </w:p>
    <w:p w14:paraId="1FF39569" w14:textId="77777777" w:rsidR="0037055B" w:rsidRDefault="0037055B" w:rsidP="00606122">
      <w:pPr>
        <w:spacing w:after="160" w:line="278" w:lineRule="auto"/>
        <w:jc w:val="both"/>
        <w:rPr>
          <w:rFonts w:ascii="Arial" w:hAnsi="Arial" w:cs="Arial"/>
        </w:rPr>
      </w:pPr>
      <w:r w:rsidRPr="0037055B">
        <w:rPr>
          <w:rFonts w:ascii="Arial" w:hAnsi="Arial" w:cs="Arial"/>
        </w:rPr>
        <w:t xml:space="preserve">Uhrazením výše uvedených tarifů </w:t>
      </w:r>
      <w:r w:rsidRPr="0037055B">
        <w:rPr>
          <w:rFonts w:ascii="Arial" w:hAnsi="Arial" w:cs="Arial"/>
          <w:b/>
          <w:bCs/>
        </w:rPr>
        <w:t>nevzniká nárok na konkrétní parkovací místo ani garance dostupnosti</w:t>
      </w:r>
      <w:r w:rsidRPr="0037055B">
        <w:rPr>
          <w:rFonts w:ascii="Arial" w:hAnsi="Arial" w:cs="Arial"/>
        </w:rPr>
        <w:t xml:space="preserve"> parkovacího místa po dobu platnosti tarifu. V případě opuštění parkoviště není držiteli tarifu zajištěno ani rezervováno parkovací místo pro jeho opětovné zaparkování.</w:t>
      </w:r>
    </w:p>
    <w:p w14:paraId="40619155" w14:textId="77777777" w:rsidR="0037055B" w:rsidRDefault="0037055B" w:rsidP="00606122">
      <w:pPr>
        <w:spacing w:after="160" w:line="278" w:lineRule="auto"/>
        <w:jc w:val="both"/>
        <w:rPr>
          <w:rFonts w:ascii="Arial" w:hAnsi="Arial" w:cs="Arial"/>
        </w:rPr>
      </w:pPr>
    </w:p>
    <w:p w14:paraId="48EFD472" w14:textId="637EA2C4" w:rsidR="006730E4" w:rsidRPr="006730E4" w:rsidRDefault="00144BB6" w:rsidP="00CE4017">
      <w:pPr>
        <w:spacing w:after="160" w:line="278" w:lineRule="auto"/>
        <w:jc w:val="both"/>
        <w:rPr>
          <w:rFonts w:ascii="Arial" w:hAnsi="Arial" w:cs="Arial"/>
        </w:rPr>
      </w:pPr>
      <w:r w:rsidRPr="006730E4">
        <w:rPr>
          <w:rFonts w:ascii="Arial" w:hAnsi="Arial" w:cs="Arial"/>
        </w:rPr>
        <w:t>Mimo provozní dobu uvedenou v Článku I</w:t>
      </w:r>
      <w:r w:rsidR="006730E4">
        <w:rPr>
          <w:rFonts w:ascii="Arial" w:hAnsi="Arial" w:cs="Arial"/>
        </w:rPr>
        <w:t>.</w:t>
      </w:r>
      <w:r w:rsidRPr="006730E4">
        <w:rPr>
          <w:rFonts w:ascii="Arial" w:hAnsi="Arial" w:cs="Arial"/>
        </w:rPr>
        <w:t xml:space="preserve"> této přílohy je stání vozidel bezplatné.</w:t>
      </w:r>
    </w:p>
    <w:sectPr w:rsidR="006730E4" w:rsidRPr="006730E4" w:rsidSect="003E3DB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6416B"/>
    <w:multiLevelType w:val="multilevel"/>
    <w:tmpl w:val="F0DE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06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5F"/>
    <w:rsid w:val="000D6A36"/>
    <w:rsid w:val="00134EDB"/>
    <w:rsid w:val="0013548F"/>
    <w:rsid w:val="00144BB6"/>
    <w:rsid w:val="001566A8"/>
    <w:rsid w:val="00283CDD"/>
    <w:rsid w:val="0037055B"/>
    <w:rsid w:val="003E3DB9"/>
    <w:rsid w:val="004F6F12"/>
    <w:rsid w:val="00544549"/>
    <w:rsid w:val="005D5EC7"/>
    <w:rsid w:val="005E33C8"/>
    <w:rsid w:val="00602C40"/>
    <w:rsid w:val="00606122"/>
    <w:rsid w:val="0062201B"/>
    <w:rsid w:val="006730E4"/>
    <w:rsid w:val="006D3983"/>
    <w:rsid w:val="00721B74"/>
    <w:rsid w:val="00803519"/>
    <w:rsid w:val="00A56E03"/>
    <w:rsid w:val="00AA6D46"/>
    <w:rsid w:val="00BD68C6"/>
    <w:rsid w:val="00C6775F"/>
    <w:rsid w:val="00CE4017"/>
    <w:rsid w:val="00DF1753"/>
    <w:rsid w:val="00EB03FD"/>
    <w:rsid w:val="00FD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C528"/>
  <w15:chartTrackingRefBased/>
  <w15:docId w15:val="{804EAC61-3360-4979-B6D3-2DB16C08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75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677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77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77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77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77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775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775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775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775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7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7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77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775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775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77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77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77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77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77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67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77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67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77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677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77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6775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7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775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7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Vencálek</dc:creator>
  <cp:keywords/>
  <dc:description/>
  <cp:lastModifiedBy>kudrnacova@mubela.cz</cp:lastModifiedBy>
  <cp:revision>2</cp:revision>
  <cp:lastPrinted>2026-05-15T07:16:00Z</cp:lastPrinted>
  <dcterms:created xsi:type="dcterms:W3CDTF">2026-06-11T06:20:00Z</dcterms:created>
  <dcterms:modified xsi:type="dcterms:W3CDTF">2026-06-11T06:20:00Z</dcterms:modified>
</cp:coreProperties>
</file>