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media/image3.png" ContentType="image/png"/>
  <Override PartName="/word/media/image4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lineRule="auto" w:line="240" w:before="0" w:after="0"/>
        <w:jc w:val="center"/>
        <w:rPr>
          <w:rFonts w:eastAsia="Tahoma" w:cs="Tahoma"/>
          <w:b/>
          <w:bCs/>
          <w:sz w:val="28"/>
          <w:szCs w:val="28"/>
          <w:lang w:eastAsia="zxx" w:bidi="zxx"/>
        </w:rPr>
      </w:pPr>
      <w:r>
        <w:rPr>
          <w:rFonts w:eastAsia="Tahoma" w:cs="Tahoma"/>
          <w:b/>
          <w:bCs/>
          <w:sz w:val="28"/>
          <w:szCs w:val="28"/>
          <w:lang w:eastAsia="zxx" w:bidi="zxx"/>
        </w:rPr>
        <w:t>Město Sobotka</w:t>
      </w:r>
    </w:p>
    <w:p>
      <w:pPr>
        <w:pStyle w:val="BodyText"/>
        <w:spacing w:lineRule="auto" w:line="240" w:before="0" w:after="0"/>
        <w:jc w:val="center"/>
        <w:rPr>
          <w:rFonts w:eastAsia="Tahoma" w:cs="Tahoma"/>
          <w:b/>
          <w:bCs/>
          <w:sz w:val="28"/>
          <w:szCs w:val="28"/>
          <w:lang w:eastAsia="zxx" w:bidi="zxx"/>
        </w:rPr>
      </w:pPr>
      <w:r>
        <w:rPr>
          <w:rFonts w:eastAsia="Tahoma" w:cs="Tahoma"/>
          <w:b/>
          <w:bCs/>
          <w:sz w:val="28"/>
          <w:szCs w:val="28"/>
          <w:lang w:eastAsia="zxx" w:bidi="zxx"/>
        </w:rPr>
        <w:t>Zastupitelstvo města</w:t>
      </w:r>
    </w:p>
    <w:p>
      <w:pPr>
        <w:pStyle w:val="BodyText"/>
        <w:spacing w:before="0" w:after="0"/>
        <w:jc w:val="center"/>
        <w:rPr>
          <w:rFonts w:ascii="Times New Roman" w:hAnsi="Times New Roman" w:eastAsia="Tahoma" w:cs="Times New Roman"/>
          <w:b/>
          <w:bCs/>
          <w:lang w:eastAsia="zxx" w:bidi="zxx"/>
        </w:rPr>
      </w:pPr>
      <w:r>
        <w:rPr/>
        <w:drawing>
          <wp:inline distT="0" distB="0" distL="0" distR="0">
            <wp:extent cx="737870" cy="897255"/>
            <wp:effectExtent l="0" t="0" r="0" b="0"/>
            <wp:docPr id="1" name="Obrázek4" descr="" title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4" descr="" title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41" t="-1342" r="-1641" b="-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lineRule="atLeast" w:line="280" w:before="0" w:after="0"/>
        <w:jc w:val="center"/>
        <w:rPr>
          <w:rFonts w:ascii="Times New Roman" w:hAnsi="Times New Roman" w:eastAsia="Tahoma" w:cs="Times New Roman"/>
          <w:b/>
          <w:bCs/>
          <w:lang w:eastAsia="zxx" w:bidi="zxx"/>
        </w:rPr>
      </w:pPr>
      <w:r>
        <w:rPr>
          <w:rFonts w:eastAsia="Tahoma" w:cs="Times New Roman" w:ascii="Times New Roman" w:hAnsi="Times New Roman"/>
          <w:b/>
          <w:bCs/>
          <w:lang w:eastAsia="zxx" w:bidi="zxx"/>
        </w:rPr>
        <w:t>Obecně závazná vyhláška</w:t>
      </w:r>
    </w:p>
    <w:p>
      <w:pPr>
        <w:pStyle w:val="BodyText"/>
        <w:spacing w:lineRule="atLeast" w:line="28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lang w:eastAsia="zxx" w:bidi="zxx"/>
        </w:rPr>
        <w:t xml:space="preserve"> </w:t>
      </w:r>
      <w:r>
        <w:rPr>
          <w:rFonts w:eastAsia="Tahoma" w:cs="Times New Roman" w:ascii="Times New Roman" w:hAnsi="Times New Roman"/>
          <w:b/>
          <w:bCs/>
          <w:lang w:eastAsia="zxx" w:bidi="zxx"/>
        </w:rPr>
        <w:t>č. 1/2019,</w:t>
      </w:r>
    </w:p>
    <w:p>
      <w:pPr>
        <w:pStyle w:val="BodyTextIndent"/>
        <w:ind w:hanging="0" w:start="0" w:end="0"/>
        <w:jc w:val="center"/>
        <w:rPr>
          <w:rFonts w:ascii="Times New Roman" w:hAnsi="Times New Roman" w:cs="Times New Roman"/>
          <w:b/>
          <w:bCs/>
          <w:szCs w:val="24"/>
        </w:rPr>
      </w:pPr>
      <w:r>
        <w:rPr>
          <w:rFonts w:cs="Times New Roman" w:ascii="Times New Roman" w:hAnsi="Times New Roman"/>
          <w:b/>
          <w:bCs/>
          <w:szCs w:val="24"/>
        </w:rPr>
        <w:t>o zákazu konzumace alkoholických nápojů na některých veřejných prostranstvích</w:t>
      </w:r>
    </w:p>
    <w:p>
      <w:pPr>
        <w:pStyle w:val="BodyText"/>
        <w:rPr>
          <w:rFonts w:ascii="Arial" w:hAnsi="Arial" w:cs="Arial"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sectPr>
          <w:type w:val="nextPage"/>
          <w:pgSz w:w="11906" w:h="16838"/>
          <w:pgMar w:left="1417" w:right="1417" w:gutter="0" w:header="0" w:top="1417" w:footer="0" w:bottom="567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widowControl/>
        <w:tabs>
          <w:tab w:val="clear" w:pos="709"/>
          <w:tab w:val="left" w:pos="375" w:leader="none"/>
        </w:tabs>
        <w:suppressAutoHyphens w:val="true"/>
        <w:bidi w:val="0"/>
        <w:ind w:firstLine="283" w:end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Zastupitelstvo města Sobotky se na svém zasedání dne 23. 5. 2019 usnesením č. I/6 usneslo vydat na základě ustanovení § 10 písm. a) a § 84 odst. 2 písm. h) zákona č. 128/2000 Sb., o obcích (obecní zřízení), ve znění pozdějších předpisů, tuto obecně závaznou vyhlášku: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Hlava"/>
        <w:spacing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1</w:t>
      </w:r>
    </w:p>
    <w:p>
      <w:pPr>
        <w:pStyle w:val="Hlava"/>
        <w:spacing w:before="0" w:after="5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Úvodní ustanovení</w:t>
      </w:r>
    </w:p>
    <w:p>
      <w:pPr>
        <w:pStyle w:val="Hlava"/>
        <w:widowControl/>
        <w:suppressAutoHyphens w:val="true"/>
        <w:bidi w:val="0"/>
        <w:spacing w:before="0" w:after="57"/>
        <w:ind w:firstLine="283" w:end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(1) </w:t>
      </w:r>
      <w:r>
        <w:rPr>
          <w:rFonts w:eastAsia="Calibri" w:cs="Times New Roman" w:ascii="Times New Roman" w:hAnsi="Times New Roman"/>
          <w:b w:val="false"/>
          <w:bCs w:val="false"/>
          <w:kern w:val="0"/>
          <w:sz w:val="20"/>
          <w:szCs w:val="20"/>
          <w:lang w:eastAsia="en-US" w:bidi="ar-SA"/>
        </w:rPr>
        <w:t>Cílem této obecně závazné vyhlášky je vytvoření opatření směřujících k zabezpečení místních záležitostí veřejného pořádku jako stavu, který umožňuje pokojné soužití občanů i návštěvníků města Sobotky, vytváření příznivých podmínek pro život a zlepšování estetického vzhledu města.</w:t>
      </w:r>
    </w:p>
    <w:p>
      <w:pPr>
        <w:pStyle w:val="Hlava"/>
        <w:widowControl/>
        <w:suppressAutoHyphens w:val="true"/>
        <w:bidi w:val="0"/>
        <w:spacing w:before="0" w:after="57"/>
        <w:ind w:firstLine="283" w:end="0"/>
        <w:jc w:val="both"/>
        <w:rPr>
          <w:rFonts w:ascii="Times New Roman" w:hAnsi="Times New Roman" w:eastAsia="Calibri" w:cs="Times New Roman"/>
          <w:b w:val="false"/>
          <w:bCs w:val="false"/>
          <w:kern w:val="0"/>
          <w:sz w:val="20"/>
          <w:szCs w:val="20"/>
          <w:lang w:eastAsia="en-US" w:bidi="ar-SA"/>
        </w:rPr>
      </w:pPr>
      <w:r>
        <w:rPr>
          <w:rFonts w:eastAsia="Calibri" w:cs="Times New Roman" w:ascii="Times New Roman" w:hAnsi="Times New Roman"/>
          <w:b w:val="false"/>
          <w:bCs w:val="false"/>
          <w:kern w:val="0"/>
          <w:sz w:val="20"/>
          <w:szCs w:val="20"/>
          <w:lang w:eastAsia="en-US" w:bidi="ar-SA"/>
        </w:rPr>
        <w:t>(2) Předmětem této obecně závazné vyhlášky je regulace činností, které by mohly narušit veřejný pořádek ve městě Sobotka nebo být v rozporu s dobrými mravy, narušovat příznivé podmínky pro život ve městě a estetický vzhled města, směřující k ochraně před následnými škodami a újmami působenými narušováním veřejného pořádku, jehož ochrana je ve veřejném zájmu.</w:t>
      </w:r>
    </w:p>
    <w:p>
      <w:pPr>
        <w:pStyle w:val="Normal"/>
        <w:widowControl/>
        <w:suppressAutoHyphens w:val="true"/>
        <w:bidi w:val="0"/>
        <w:spacing w:lineRule="auto" w:line="240" w:before="0" w:after="57"/>
        <w:ind w:firstLine="283" w:end="0"/>
        <w:jc w:val="both"/>
        <w:rPr/>
      </w:pPr>
      <w:r>
        <w:rPr>
          <w:rFonts w:cs="Times New Roman" w:ascii="Times New Roman" w:hAnsi="Times New Roman"/>
          <w:sz w:val="20"/>
          <w:szCs w:val="22"/>
        </w:rPr>
        <w:t>(3) Činností, která by mohla narušit veřejný pořádek ve městě, je konzumace alkoholických nápojů</w:t>
      </w:r>
      <w:r>
        <w:rPr>
          <w:rStyle w:val="Znakypropoznmkupodarou"/>
          <w:rStyle w:val="FootnoteReference"/>
          <w:rFonts w:cs="Times New Roman" w:ascii="Times New Roman" w:hAnsi="Times New Roman"/>
          <w:sz w:val="20"/>
          <w:szCs w:val="22"/>
        </w:rPr>
        <w:footnoteReference w:id="2"/>
      </w:r>
      <w:r>
        <w:rPr>
          <w:rFonts w:cs="Times New Roman" w:ascii="Times New Roman" w:hAnsi="Times New Roman"/>
          <w:sz w:val="20"/>
          <w:szCs w:val="22"/>
          <w:vertAlign w:val="superscript"/>
        </w:rPr>
        <w:t>)</w:t>
      </w:r>
      <w:r>
        <w:rPr>
          <w:rFonts w:cs="Times New Roman" w:ascii="Times New Roman" w:hAnsi="Times New Roman"/>
          <w:sz w:val="20"/>
          <w:szCs w:val="22"/>
        </w:rPr>
        <w:t xml:space="preserve"> na veřejném prostranství nebo zdržování se s otevřenou lahví nebo jinou nádobou obsahující alkoholický nápoj na veřejném prostranství (dále jen „konzumace alkoholických nápojů“).</w:t>
      </w:r>
    </w:p>
    <w:p>
      <w:pPr>
        <w:pStyle w:val="Hlava"/>
        <w:spacing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Hlava"/>
        <w:spacing w:before="0" w:after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Čl. 2</w:t>
      </w:r>
    </w:p>
    <w:p>
      <w:pPr>
        <w:pStyle w:val="Hlava"/>
        <w:spacing w:before="0" w:after="57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Zákaz konzumace alkoholických nápojů</w:t>
      </w:r>
    </w:p>
    <w:p>
      <w:pPr>
        <w:pStyle w:val="BodyText"/>
        <w:widowControl/>
        <w:tabs>
          <w:tab w:val="clear" w:pos="709"/>
          <w:tab w:val="left" w:pos="345" w:leader="none"/>
          <w:tab w:val="left" w:pos="570" w:leader="none"/>
          <w:tab w:val="left" w:pos="993" w:leader="none"/>
        </w:tabs>
        <w:suppressAutoHyphens w:val="true"/>
        <w:bidi w:val="0"/>
        <w:spacing w:lineRule="auto" w:line="240" w:before="0" w:after="57"/>
        <w:ind w:firstLine="283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(1) Zakazuje se konzumace alkoholických nápojů na veřejných prostranstvích slovně vymezených v příloze č. 1 a graficky znázorněných v příloze č. 2 až 4 této obecně závazné vyhlášky.</w:t>
      </w:r>
    </w:p>
    <w:p>
      <w:pPr>
        <w:pStyle w:val="BodyText"/>
        <w:widowControl/>
        <w:tabs>
          <w:tab w:val="clear" w:pos="709"/>
          <w:tab w:val="left" w:pos="345" w:leader="none"/>
          <w:tab w:val="left" w:pos="570" w:leader="none"/>
          <w:tab w:val="left" w:pos="993" w:leader="none"/>
        </w:tabs>
        <w:suppressAutoHyphens w:val="true"/>
        <w:bidi w:val="0"/>
        <w:spacing w:lineRule="auto" w:line="240" w:before="0" w:after="0"/>
        <w:ind w:firstLine="283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(2) Zákaz konzumace alkoholických nápojů stanovený v odst. 1 se nevztahuje:</w:t>
      </w:r>
    </w:p>
    <w:p>
      <w:pPr>
        <w:pStyle w:val="BodyText"/>
        <w:widowControl/>
        <w:tabs>
          <w:tab w:val="clear" w:pos="709"/>
          <w:tab w:val="left" w:pos="345" w:leader="none"/>
          <w:tab w:val="left" w:pos="570" w:leader="none"/>
          <w:tab w:val="left" w:pos="993" w:leader="none"/>
        </w:tabs>
        <w:suppressAutoHyphens w:val="true"/>
        <w:bidi w:val="0"/>
        <w:spacing w:lineRule="auto" w:line="240" w:before="0" w:after="0"/>
        <w:ind w:hanging="227" w:start="227" w:end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a) prostory restauračních zahrádek a předzahrádek, které jsou součástí provozoven, kde je provozována hostinská činnost</w:t>
      </w:r>
      <w:r>
        <w:rPr>
          <w:rStyle w:val="FootnoteReference"/>
          <w:rStyle w:val="FootnoteReference"/>
          <w:rFonts w:cs="Times New Roman" w:ascii="Times New Roman" w:hAnsi="Times New Roman"/>
          <w:sz w:val="20"/>
          <w:szCs w:val="20"/>
          <w:vertAlign w:val="superscript"/>
        </w:rPr>
        <w:footnoteReference w:id="3"/>
      </w:r>
      <w:r>
        <w:rPr>
          <w:rFonts w:cs="Times New Roman" w:ascii="Times New Roman" w:hAnsi="Times New Roman"/>
          <w:sz w:val="20"/>
          <w:szCs w:val="20"/>
          <w:vertAlign w:val="superscript"/>
        </w:rPr>
        <w:t>,</w:t>
      </w:r>
      <w:r>
        <w:rPr>
          <w:rFonts w:cs="Times New Roman" w:ascii="Times New Roman" w:hAnsi="Times New Roman"/>
          <w:sz w:val="20"/>
          <w:szCs w:val="20"/>
        </w:rPr>
        <w:t xml:space="preserve"> a to v jejich provozní době;</w:t>
      </w:r>
    </w:p>
    <w:p>
      <w:pPr>
        <w:pStyle w:val="BodyText"/>
        <w:widowControl/>
        <w:tabs>
          <w:tab w:val="clear" w:pos="709"/>
          <w:tab w:val="left" w:pos="345" w:leader="none"/>
          <w:tab w:val="left" w:pos="570" w:leader="none"/>
          <w:tab w:val="left" w:pos="993" w:leader="none"/>
        </w:tabs>
        <w:suppressAutoHyphens w:val="true"/>
        <w:bidi w:val="0"/>
        <w:spacing w:lineRule="auto" w:line="240" w:before="0" w:after="0"/>
        <w:ind w:hanging="227" w:start="227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b) na dny 31. prosince a 1. ledna;</w:t>
      </w:r>
    </w:p>
    <w:p>
      <w:pPr>
        <w:pStyle w:val="BodyText"/>
        <w:widowControl/>
        <w:tabs>
          <w:tab w:val="clear" w:pos="709"/>
          <w:tab w:val="left" w:pos="345" w:leader="none"/>
          <w:tab w:val="left" w:pos="570" w:leader="none"/>
          <w:tab w:val="left" w:pos="993" w:leader="none"/>
        </w:tabs>
        <w:suppressAutoHyphens w:val="true"/>
        <w:bidi w:val="0"/>
        <w:spacing w:lineRule="auto" w:line="240" w:before="0" w:after="57"/>
        <w:ind w:hanging="227" w:start="227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c) na dny pátek, sobota a neděle ve druhé polovině měsíce srpna v době konání tradičního Soboteckého jarmarku a festivalu řemesel.</w:t>
      </w:r>
    </w:p>
    <w:p>
      <w:pPr>
        <w:pStyle w:val="BodyText"/>
        <w:widowControl/>
        <w:tabs>
          <w:tab w:val="clear" w:pos="709"/>
          <w:tab w:val="left" w:pos="345" w:leader="none"/>
          <w:tab w:val="left" w:pos="570" w:leader="none"/>
          <w:tab w:val="left" w:pos="993" w:leader="none"/>
        </w:tabs>
        <w:suppressAutoHyphens w:val="true"/>
        <w:bidi w:val="0"/>
        <w:spacing w:lineRule="auto" w:line="240" w:before="0" w:after="0"/>
        <w:ind w:firstLine="283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(3) Zákaz konzumace alkoholických nápojů se nevztahuje na veřejná prostranství slovně vymezená v příloze č. 1 pod písm. a) a graficky znázorněná v příloze č. 2 této obecně závazné vyhlášky:</w:t>
      </w:r>
    </w:p>
    <w:p>
      <w:pPr>
        <w:pStyle w:val="BodyText"/>
        <w:widowControl/>
        <w:tabs>
          <w:tab w:val="clear" w:pos="709"/>
          <w:tab w:val="left" w:pos="345" w:leader="none"/>
          <w:tab w:val="left" w:pos="570" w:leader="none"/>
          <w:tab w:val="left" w:pos="993" w:leader="none"/>
        </w:tabs>
        <w:suppressAutoHyphens w:val="true"/>
        <w:bidi w:val="0"/>
        <w:spacing w:lineRule="auto" w:line="240" w:before="0" w:after="0"/>
        <w:ind w:hanging="227" w:start="227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a) na sobotu v první polovině měsíce července v době konání tradičního třešňového jarmarku v rámci tradičního festivalu českého jazyka, řeči a literatury Šrámkova Sobotka;</w:t>
      </w:r>
    </w:p>
    <w:p>
      <w:pPr>
        <w:pStyle w:val="BodyText"/>
        <w:widowControl/>
        <w:tabs>
          <w:tab w:val="clear" w:pos="709"/>
          <w:tab w:val="left" w:pos="345" w:leader="none"/>
          <w:tab w:val="left" w:pos="570" w:leader="none"/>
          <w:tab w:val="left" w:pos="993" w:leader="none"/>
        </w:tabs>
        <w:suppressAutoHyphens w:val="true"/>
        <w:bidi w:val="0"/>
        <w:spacing w:lineRule="auto" w:line="240" w:before="0" w:after="57"/>
        <w:ind w:hanging="227" w:start="227" w:end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b) na adventní neděle v době konání tradičních adventních slavností (rozsvěcení vánočního stromu, živé jesličky).</w:t>
      </w:r>
    </w:p>
    <w:p>
      <w:pPr>
        <w:pStyle w:val="BodyText"/>
        <w:widowControl/>
        <w:tabs>
          <w:tab w:val="clear" w:pos="709"/>
          <w:tab w:val="left" w:pos="345" w:leader="none"/>
          <w:tab w:val="left" w:pos="570" w:leader="none"/>
          <w:tab w:val="left" w:pos="993" w:leader="none"/>
        </w:tabs>
        <w:suppressAutoHyphens w:val="true"/>
        <w:bidi w:val="0"/>
        <w:spacing w:lineRule="auto" w:line="240" w:before="0" w:after="57"/>
        <w:ind w:firstLine="283" w:end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(4) Rada města Sobotky může na základě žádosti</w:t>
      </w:r>
      <w:r>
        <w:rPr>
          <w:rStyle w:val="Znakapoznpodarou"/>
          <w:rStyle w:val="FootnoteReference"/>
          <w:rFonts w:cs="Times New Roman" w:ascii="Times New Roman" w:hAnsi="Times New Roman"/>
          <w:sz w:val="20"/>
          <w:szCs w:val="20"/>
        </w:rPr>
        <w:footnoteReference w:id="4"/>
      </w:r>
      <w:r>
        <w:rPr>
          <w:rFonts w:cs="Times New Roman" w:ascii="Times New Roman" w:hAnsi="Times New Roman"/>
          <w:sz w:val="20"/>
          <w:szCs w:val="20"/>
        </w:rPr>
        <w:t xml:space="preserve"> udělit výjimku ze zákazu specifikovaného v odst. 1 tohoto článku obecně závazné vyhlášky.</w:t>
      </w:r>
    </w:p>
    <w:p>
      <w:pPr>
        <w:pStyle w:val="BodyText"/>
        <w:tabs>
          <w:tab w:val="clear" w:pos="709"/>
          <w:tab w:val="left" w:pos="345" w:leader="none"/>
          <w:tab w:val="left" w:pos="570" w:leader="none"/>
          <w:tab w:val="left" w:pos="993" w:leader="none"/>
        </w:tabs>
        <w:spacing w:lineRule="auto" w:line="240" w:before="0" w:after="57"/>
        <w:jc w:val="both"/>
        <w:rPr>
          <w:rFonts w:ascii="Times New Roman" w:hAnsi="Times New Roman" w:cs="Times New Roman"/>
          <w:b/>
          <w:bCs w:val="false"/>
          <w:sz w:val="20"/>
          <w:szCs w:val="20"/>
        </w:rPr>
      </w:pPr>
      <w:r>
        <w:rPr>
          <w:rFonts w:cs="Times New Roman" w:ascii="Times New Roman" w:hAnsi="Times New Roman"/>
          <w:b/>
          <w:bCs w:val="false"/>
          <w:sz w:val="20"/>
          <w:szCs w:val="20"/>
        </w:rPr>
      </w:r>
    </w:p>
    <w:p>
      <w:pPr>
        <w:pStyle w:val="Zkladntextodsazen31"/>
        <w:ind w:hanging="0" w:start="0" w:end="0"/>
        <w:jc w:val="center"/>
        <w:rPr>
          <w:rFonts w:ascii="Times New Roman" w:hAnsi="Times New Roman" w:cs="Times New Roman"/>
          <w:b/>
          <w:bCs w:val="false"/>
          <w:sz w:val="20"/>
          <w:szCs w:val="20"/>
        </w:rPr>
      </w:pPr>
      <w:r>
        <w:rPr>
          <w:rFonts w:cs="Times New Roman" w:ascii="Times New Roman" w:hAnsi="Times New Roman"/>
          <w:b/>
          <w:bCs w:val="false"/>
          <w:sz w:val="20"/>
          <w:szCs w:val="20"/>
        </w:rPr>
        <w:t>Čl. 3</w:t>
      </w:r>
    </w:p>
    <w:p>
      <w:pPr>
        <w:pStyle w:val="BodyText"/>
        <w:spacing w:lineRule="auto" w:line="240" w:before="0" w:after="5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Účinnost</w:t>
      </w:r>
    </w:p>
    <w:p>
      <w:pPr>
        <w:pStyle w:val="Seznamoslovan"/>
        <w:spacing w:lineRule="auto" w:line="240"/>
        <w:ind w:hanging="0" w:start="0" w:end="0"/>
        <w:rPr/>
      </w:pPr>
      <w:r>
        <w:rPr>
          <w:rFonts w:cs="Times New Roman" w:ascii="Times New Roman" w:hAnsi="Times New Roman"/>
          <w:sz w:val="20"/>
          <w:szCs w:val="20"/>
        </w:rPr>
        <w:t xml:space="preserve">Tato obecně závazná vyhláška nabývá účinnosti   </w:t>
      </w:r>
      <w:r>
        <w:rPr>
          <w:rFonts w:cs="Times New Roman" w:ascii="Times New Roman" w:hAnsi="Times New Roman"/>
          <w:sz w:val="20"/>
          <w:szCs w:val="20"/>
        </w:rPr>
        <w:t>dne 1. 6. 2019</w:t>
      </w:r>
      <w:r>
        <w:rPr>
          <w:rFonts w:cs="Times New Roman" w:ascii="Times New Roman" w:hAnsi="Times New Roman"/>
          <w:sz w:val="20"/>
          <w:szCs w:val="20"/>
        </w:rPr>
        <w:t>.</w:t>
      </w:r>
    </w:p>
    <w:p>
      <w:pPr>
        <w:pStyle w:val="Seznamoslovan"/>
        <w:spacing w:lineRule="auto" w:line="240"/>
        <w:ind w:hanging="0" w:start="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eznamoslovan"/>
        <w:spacing w:lineRule="auto" w:line="240"/>
        <w:ind w:hanging="0" w:start="0" w:end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"/>
        <w:spacing w:lineRule="auto" w:line="240" w:before="0" w:after="0"/>
        <w:jc w:val="both"/>
        <w:rPr/>
      </w:pPr>
      <w:r>
        <w:rPr>
          <w:rFonts w:eastAsia="Tahoma" w:cs="Times New Roman" w:ascii="Times New Roman" w:hAnsi="Times New Roman"/>
          <w:sz w:val="20"/>
          <w:szCs w:val="20"/>
          <w:lang w:eastAsia="zxx" w:bidi="zxx"/>
        </w:rPr>
        <w:t>Ing. Lubor Jenček v.r.</w:t>
        <w:tab/>
        <w:t xml:space="preserve">           Bc. Jan Janatka</w:t>
      </w:r>
      <w:r>
        <w:rPr>
          <w:rFonts w:cs="Times New Roman" w:ascii="Times New Roman" w:hAnsi="Times New Roman"/>
          <w:sz w:val="20"/>
          <w:szCs w:val="20"/>
          <w:lang w:eastAsia="zxx" w:bidi="zxx"/>
        </w:rPr>
        <w:t xml:space="preserve"> v.r.</w:t>
      </w:r>
    </w:p>
    <w:p>
      <w:pPr>
        <w:pStyle w:val="BodyText"/>
        <w:spacing w:lineRule="auto" w:line="240" w:before="0" w:after="0"/>
        <w:jc w:val="both"/>
        <w:rPr/>
      </w:pPr>
      <w:r>
        <w:rPr>
          <w:rFonts w:eastAsia="Tahoma" w:cs="Times New Roman" w:ascii="Times New Roman" w:hAnsi="Times New Roman"/>
          <w:sz w:val="20"/>
          <w:szCs w:val="20"/>
          <w:lang w:eastAsia="zxx" w:bidi="zxx"/>
        </w:rPr>
        <w:t>       </w:t>
      </w:r>
      <w:r>
        <w:rPr>
          <w:rFonts w:eastAsia="Tahoma" w:cs="Times New Roman" w:ascii="Times New Roman" w:hAnsi="Times New Roman"/>
          <w:sz w:val="20"/>
          <w:szCs w:val="20"/>
          <w:lang w:eastAsia="zxx" w:bidi="zxx"/>
        </w:rPr>
        <w:t>starosta</w:t>
        <w:tab/>
        <w:tab/>
        <w:tab/>
        <w:t>  místostarosta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cs="Times New Roman" w:ascii="Times New Roman" w:hAnsi="Times New Roman"/>
          <w:iCs/>
          <w:sz w:val="18"/>
          <w:szCs w:val="18"/>
        </w:rPr>
      </w:r>
    </w:p>
    <w:p>
      <w:pPr>
        <w:sectPr>
          <w:footnotePr>
            <w:numFmt w:val="decimal"/>
          </w:footnotePr>
          <w:type w:val="continuous"/>
          <w:pgSz w:w="11906" w:h="16838"/>
          <w:pgMar w:left="1417" w:right="1417" w:gutter="0" w:header="0" w:top="1417" w:footer="0" w:bottom="567"/>
          <w:cols w:num="2" w:space="566" w:equalWidth="true" w:sep="false"/>
          <w:formProt w:val="false"/>
          <w:textDirection w:val="lrTb"/>
          <w:docGrid w:type="default" w:linePitch="360" w:charSpace="0"/>
        </w:sectPr>
      </w:pPr>
    </w:p>
    <w:p>
      <w:pPr>
        <w:pStyle w:val="BodyText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  <w:t>Vyvěšeno na úřední desce dne:  24. 5. 2019. Zveřejnění bylo shodně provedeno na elektronické úřední desce.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  <w:t>Sejmuto z úřední desky dne:</w:t>
      </w:r>
    </w:p>
    <w:p>
      <w:pPr>
        <w:pStyle w:val="BodyText"/>
        <w:spacing w:lineRule="auto" w:line="240" w:before="0" w:after="0"/>
        <w:rPr>
          <w:rFonts w:ascii="Times New Roman" w:hAnsi="Times New Roman" w:cs="Times New Roman"/>
          <w:iCs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</w:r>
    </w:p>
    <w:p>
      <w:pPr>
        <w:pStyle w:val="Default"/>
        <w:bidi w:val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Příloha č. 1 </w:t>
      </w:r>
      <w:r>
        <w:rPr>
          <w:rFonts w:cs="Times New Roman" w:ascii="Times New Roman" w:hAnsi="Times New Roman"/>
          <w:b/>
          <w:bCs/>
          <w:sz w:val="20"/>
          <w:szCs w:val="20"/>
        </w:rPr>
        <w:t>obecně závazné vyhlášky č. 1/2019, o zákazu konzumace alkoholických nápojů na některých veřejných prostranstvích</w:t>
      </w:r>
    </w:p>
    <w:p>
      <w:pPr>
        <w:pStyle w:val="Default"/>
        <w:bidi w:val="0"/>
        <w:jc w:val="start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</w:rPr>
        <w:t xml:space="preserve"> </w:t>
      </w:r>
    </w:p>
    <w:p>
      <w:pPr>
        <w:pStyle w:val="Normal"/>
        <w:jc w:val="star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Veřejná prostranství, na která se vztahuje zákaz konzumace alkoholických nápojů dle článku 2 odst. 1 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083" w:type="dxa"/>
        <w:jc w:val="start"/>
        <w:tblInd w:w="131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38"/>
        <w:gridCol w:w="3687"/>
        <w:gridCol w:w="2558"/>
      </w:tblGrid>
      <w:tr>
        <w:trPr/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Označení lokality:</w:t>
            </w:r>
          </w:p>
        </w:tc>
        <w:tc>
          <w:tcPr>
            <w:tcW w:w="36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Slovní vymezení předmětných veřejných prostranství:</w:t>
            </w:r>
          </w:p>
        </w:tc>
        <w:tc>
          <w:tcPr>
            <w:tcW w:w="2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Grafické znázornění:</w:t>
            </w:r>
          </w:p>
        </w:tc>
      </w:tr>
      <w:tr>
        <w:trPr/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) náměstí Míru a okolí</w:t>
            </w:r>
          </w:p>
        </w:tc>
        <w:tc>
          <w:tcPr>
            <w:tcW w:w="36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náměstí Míru, Malé náměstí</w:t>
            </w:r>
          </w:p>
          <w:p>
            <w:pPr>
              <w:pStyle w:val="Normal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 graficky znázorněné části ulic Boleslavská, Novoměstská, Humprechtská, Turnovská, Jičínská, Baštecká a park</w:t>
            </w:r>
          </w:p>
        </w:tc>
        <w:tc>
          <w:tcPr>
            <w:tcW w:w="2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příloha č. 2</w:t>
            </w:r>
          </w:p>
        </w:tc>
      </w:tr>
      <w:tr>
        <w:trPr/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B) okolí vlakového nádraží </w:t>
            </w:r>
          </w:p>
        </w:tc>
        <w:tc>
          <w:tcPr>
            <w:tcW w:w="36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graficky znázorněné části ulic Nádražní, Boleslavská, Špálova, Zahradní, Březenská, Lípová a park</w:t>
            </w:r>
          </w:p>
        </w:tc>
        <w:tc>
          <w:tcPr>
            <w:tcW w:w="2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příloha č. 3</w:t>
            </w:r>
          </w:p>
        </w:tc>
      </w:tr>
      <w:tr>
        <w:trPr/>
        <w:tc>
          <w:tcPr>
            <w:tcW w:w="28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ind w:hanging="283" w:start="283" w:end="0"/>
              <w:jc w:val="star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C) okolí škol a zdravotního střediska</w:t>
            </w:r>
          </w:p>
        </w:tc>
        <w:tc>
          <w:tcPr>
            <w:tcW w:w="368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start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graficky znázorněné části ulic Jičínská, Předměstská, Za školou, Spyšovská, F</w:t>
            </w:r>
            <w:r>
              <w:rPr>
                <w:rFonts w:eastAsia="SimSun;宋体" w:cs="Times New Roman" w:ascii="Times New Roman" w:hAnsi="Times New Roman"/>
                <w:sz w:val="24"/>
                <w:szCs w:val="24"/>
              </w:rPr>
              <w:t>ügnerova, Raisova, Tyršova, Šolcova a dětské hřiště</w:t>
            </w:r>
          </w:p>
        </w:tc>
        <w:tc>
          <w:tcPr>
            <w:tcW w:w="255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příloha č. 4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>
        <w:rPr>
          <w:rFonts w:cs="Times New Roman" w:ascii="Times New Roman" w:hAnsi="Times New Roman"/>
          <w:iCs/>
          <w:color w:val="000000"/>
          <w:sz w:val="20"/>
          <w:szCs w:val="20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Příloha č. 2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0"/>
          <w:szCs w:val="20"/>
        </w:rPr>
        <w:t>obecně závazné vyhlášky č. 1/2019, o zákazu konzumace alkoholických nápojů na některých veřejných prostranstvích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Grafické vymezení veřejných prostranství, na která se vztahuje zákaz konzumace alkoholických nápojů dle článku 2 odst. 1. </w:t>
      </w:r>
    </w:p>
    <w:p>
      <w:pPr>
        <w:pStyle w:val="Normal"/>
        <w:spacing w:lineRule="atLeast" w:line="100" w:before="0" w:after="0"/>
        <w:jc w:val="both"/>
        <w:rPr/>
      </w:pPr>
      <w:r>
        <w:rPr/>
        <w:t>L</w:t>
      </w:r>
      <w:r>
        <w:rPr>
          <w:rFonts w:cs="Times New Roman" w:ascii="Times New Roman" w:hAnsi="Times New Roman"/>
          <w:b/>
          <w:iCs/>
          <w:color w:val="000000"/>
          <w:sz w:val="24"/>
          <w:szCs w:val="24"/>
        </w:rPr>
        <w:t xml:space="preserve">okalita A) náměstí Míru a okolí </w:t>
      </w:r>
    </w:p>
    <w:p>
      <w:pPr>
        <w:pStyle w:val="Normal"/>
        <w:spacing w:lineRule="atLeast" w:line="100" w:before="0" w:after="0"/>
        <w:jc w:val="both"/>
        <w:rPr/>
      </w:pPr>
      <w:r>
        <w:rPr/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107950</wp:posOffset>
            </wp:positionH>
            <wp:positionV relativeFrom="paragraph">
              <wp:posOffset>151130</wp:posOffset>
            </wp:positionV>
            <wp:extent cx="5649595" cy="3597275"/>
            <wp:effectExtent l="0" t="0" r="0" b="0"/>
            <wp:wrapSquare wrapText="largest"/>
            <wp:docPr id="2" name="Obrázek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57" t="7998" r="3420" b="7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Příloha č. 3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0"/>
          <w:szCs w:val="20"/>
        </w:rPr>
        <w:t>obecně závazné vyhlášky č. 1/2019, o zákazu konzumace alkoholických nápojů na některých veřejných prostranstvích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Grafické vymezení veřejných prostranství, na která se vztahuje zákaz konzumace alkoholických nápojů dle článku 2 odst. 1. 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Cs/>
          <w:color w:val="000000"/>
          <w:sz w:val="24"/>
          <w:szCs w:val="24"/>
        </w:rPr>
        <w:t>Lokalita B) okolí vlakového nádraží</w:t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Cs/>
          <w:color w:val="000000"/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107950</wp:posOffset>
            </wp:positionH>
            <wp:positionV relativeFrom="paragraph">
              <wp:posOffset>114935</wp:posOffset>
            </wp:positionV>
            <wp:extent cx="5649595" cy="3417570"/>
            <wp:effectExtent l="0" t="0" r="0" b="0"/>
            <wp:wrapSquare wrapText="largest"/>
            <wp:docPr id="3" name="Obrázek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2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5" t="2350" r="-25" b="3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100" w:before="0" w:after="0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iCs/>
          <w:color w:val="000000"/>
          <w:sz w:val="24"/>
          <w:szCs w:val="24"/>
        </w:rPr>
      </w:r>
    </w:p>
    <w:p>
      <w:pPr>
        <w:pStyle w:val="Normal"/>
        <w:spacing w:lineRule="atLeast" w:line="100" w:before="0" w:after="0"/>
        <w:jc w:val="both"/>
        <w:rPr/>
      </w:pPr>
      <w:r>
        <w:rPr>
          <w:rFonts w:cs="Times New Roman" w:ascii="Times New Roman" w:hAnsi="Times New Roman"/>
          <w:b/>
          <w:iCs/>
          <w:color w:val="000000"/>
          <w:sz w:val="24"/>
          <w:szCs w:val="24"/>
        </w:rPr>
        <w:t>Příloha č. 4</w:t>
      </w:r>
      <w:r>
        <w:rPr>
          <w:rFonts w:cs="Times New Roman" w:ascii="Times New Roman" w:hAnsi="Times New Roman"/>
          <w:b w:val="false"/>
          <w:bCs w:val="false"/>
          <w:iCs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iCs/>
          <w:color w:val="000000"/>
          <w:sz w:val="20"/>
          <w:szCs w:val="20"/>
        </w:rPr>
        <w:t>obecně závazné vyhlášky č. 1/2019, o zákazu konzumace alkoholických nápojů na některých veřejných prostranstvích</w:t>
      </w:r>
    </w:p>
    <w:p>
      <w:pPr>
        <w:pStyle w:val="Normal"/>
        <w:spacing w:lineRule="atLeast" w:line="100" w:before="0" w:after="0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Grafické vymezení veřejných prostranství, na která se vztahuje zákaz konzumace alkoholických nápojů dle článku 2 odst. 1. </w:t>
      </w:r>
    </w:p>
    <w:p>
      <w:pPr>
        <w:pStyle w:val="Normal"/>
        <w:spacing w:lineRule="atLeast" w:line="100" w:before="0" w:after="0"/>
        <w:jc w:val="both"/>
        <w:rPr>
          <w:b/>
          <w:bCs/>
        </w:rPr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107950</wp:posOffset>
            </wp:positionH>
            <wp:positionV relativeFrom="paragraph">
              <wp:posOffset>262890</wp:posOffset>
            </wp:positionV>
            <wp:extent cx="5649595" cy="3417570"/>
            <wp:effectExtent l="0" t="0" r="0" b="0"/>
            <wp:wrapSquare wrapText="largest"/>
            <wp:docPr id="4" name="Obrázek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3" descr="" titl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855" t="4185" r="6124" b="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59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Lokalita C) okolí škol a zdravotního střediska </w:t>
      </w:r>
    </w:p>
    <w:sectPr>
      <w:footnotePr>
        <w:numFmt w:val="decimal"/>
      </w:footnotePr>
      <w:type w:val="continuous"/>
      <w:pgSz w:w="11906" w:h="16838"/>
      <w:pgMar w:left="1417" w:right="1417" w:gutter="0" w:header="0" w:top="1417" w:footer="0" w:bottom="567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tabs>
          <w:tab w:val="clear" w:pos="709"/>
          <w:tab w:val="left" w:pos="284" w:leader="none"/>
        </w:tabs>
        <w:ind w:hanging="284" w:start="284" w:end="0"/>
        <w:jc w:val="both"/>
        <w:rPr/>
      </w:pPr>
      <w:r>
        <w:rPr>
          <w:rStyle w:val="Znakypropoznmkupodarou"/>
        </w:rPr>
        <w:footnoteRef/>
      </w:r>
      <w:r>
        <w:rPr>
          <w:rFonts w:cs="Times New Roman" w:ascii="Times New Roman" w:hAnsi="Times New Roman"/>
          <w:i/>
          <w:iCs/>
          <w:sz w:val="18"/>
          <w:szCs w:val="18"/>
        </w:rPr>
        <w:tab/>
        <w:t>§ 2 písm. f) zákona č. 65/2017 Sb., o ochraně zdraví před škodlivými účinky návykových látek, ve znění pozdějších předpisů</w:t>
      </w:r>
    </w:p>
  </w:footnote>
  <w:footnote w:id="3">
    <w:p>
      <w:pPr>
        <w:pStyle w:val="FootnoteText"/>
        <w:tabs>
          <w:tab w:val="clear" w:pos="709"/>
          <w:tab w:val="left" w:pos="284" w:leader="none"/>
        </w:tabs>
        <w:ind w:hanging="284" w:start="284" w:end="0"/>
        <w:jc w:val="both"/>
        <w:rPr/>
      </w:pPr>
      <w:r>
        <w:rPr>
          <w:rStyle w:val="Znakypropoznmkupodarou"/>
        </w:rPr>
        <w:footnoteRef/>
      </w:r>
      <w:r>
        <w:rPr>
          <w:rFonts w:cs="Times New Roman" w:ascii="Times New Roman" w:hAnsi="Times New Roman"/>
          <w:i/>
          <w:sz w:val="18"/>
          <w:szCs w:val="18"/>
        </w:rPr>
        <w:tab/>
        <w:t>zákon č. 455/1991 Sb., o živnostenském podnikání, ve znění pozdějších předpisů a nařízení vlády č. 278/2008 Sb., o obsahových náplních jednotlivých živností, ve znění pozdějších předpisů</w:t>
      </w:r>
    </w:p>
  </w:footnote>
  <w:footnote w:id="4">
    <w:p>
      <w:pPr>
        <w:pStyle w:val="FootnoteText"/>
        <w:tabs>
          <w:tab w:val="clear" w:pos="709"/>
          <w:tab w:val="left" w:pos="284" w:leader="none"/>
        </w:tabs>
        <w:ind w:hanging="284" w:start="284" w:end="0"/>
        <w:jc w:val="both"/>
        <w:rPr/>
      </w:pPr>
      <w:r>
        <w:rPr>
          <w:rStyle w:val="Znakypropoznmkupodarou"/>
        </w:rPr>
        <w:footnoteRef/>
      </w:r>
      <w:r>
        <w:rPr>
          <w:rFonts w:eastAsia="Times New Roman" w:cs="Times New Roman" w:ascii="Times New Roman" w:hAnsi="Times New Roman"/>
          <w:i/>
          <w:kern w:val="0"/>
          <w:sz w:val="18"/>
          <w:szCs w:val="18"/>
          <w:lang w:eastAsia="ar-SA" w:bidi="ar-SA"/>
        </w:rPr>
        <w:tab/>
        <w:t>§ 37 a § 45 zákona č. 500/2004 Sb., správní řád, ve znění pozdějších předpisů</w:t>
      </w:r>
    </w:p>
    <w:p>
      <w:pPr>
        <w:pStyle w:val="FootnoteText"/>
        <w:rPr>
          <w:rFonts w:ascii="Times New Roman" w:hAnsi="Times New Roman" w:eastAsia="Times New Roman" w:cs="Times New Roman"/>
          <w:i/>
          <w:i/>
          <w:kern w:val="0"/>
          <w:sz w:val="18"/>
          <w:szCs w:val="18"/>
          <w:lang w:eastAsia="ar-SA" w:bidi="ar-SA"/>
        </w:rPr>
      </w:pPr>
      <w:r>
        <w:rPr>
          <w:rFonts w:eastAsia="Times New Roman" w:cs="Times New Roman" w:ascii="Times New Roman" w:hAnsi="Times New Roman"/>
          <w:i/>
          <w:kern w:val="0"/>
          <w:sz w:val="18"/>
          <w:szCs w:val="18"/>
          <w:lang w:eastAsia="ar-SA" w:bidi="ar-SA"/>
        </w:rPr>
      </w:r>
    </w:p>
  </w:footnote>
</w:footnotes>
</file>

<file path=word/settings.xml><?xml version="1.0" encoding="utf-8"?>
<w:settings xmlns:w="http://schemas.openxmlformats.org/wordprocessingml/2006/main">
  <w:zoom w:percent="110"/>
  <w:displayBackgroundShape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Liberation Serif;Times New Roman" w:hAnsi="Liberation Serif;Times New Roman" w:eastAsia="SimSun;宋体" w:cs="Arial"/>
      <w:color w:val="auto"/>
      <w:kern w:val="2"/>
      <w:sz w:val="24"/>
      <w:szCs w:val="24"/>
      <w:lang w:val="cs-CZ" w:eastAsia="zh-CN" w:bidi="hi-IN"/>
    </w:rPr>
  </w:style>
  <w:style w:type="character" w:styleId="Standardnpsmoodstavce">
    <w:name w:val="Standardní písmo odstavce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WW8Num14z0">
    <w:name w:val="WW8Num14z0"/>
    <w:qFormat/>
    <w:rPr>
      <w:rFonts w:cs="Arial"/>
      <w:b w:val="false"/>
      <w:i w:val="false"/>
      <w:strike w:val="false"/>
      <w:dstrike w:val="false"/>
      <w:outline w:val="false"/>
      <w:shadow w:val="false"/>
      <w:position w:val="0"/>
      <w:sz w:val="24"/>
      <w:sz w:val="24"/>
      <w:szCs w:val="22"/>
      <w:u w:val="none"/>
      <w:vertAlign w:val="baseline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FootnoteReference">
    <w:name w:val="Footnote Reference"/>
    <w:rPr>
      <w:vertAlign w:val="superscript"/>
    </w:rPr>
  </w:style>
  <w:style w:type="character" w:styleId="Znakyprovysvtlivky">
    <w:name w:val="Znaky pro vysvětlivky"/>
    <w:qFormat/>
    <w:rPr>
      <w:vertAlign w:val="superscript"/>
    </w:rPr>
  </w:style>
  <w:style w:type="character" w:styleId="WW-Znakyprovysvtlivky">
    <w:name w:val="WW-Znaky pro vysvětlivky"/>
    <w:qFormat/>
    <w:rPr/>
  </w:style>
  <w:style w:type="character" w:styleId="EndnoteReference">
    <w:name w:val="Endnote Reference"/>
    <w:rPr>
      <w:vertAlign w:val="superscript"/>
    </w:rPr>
  </w:style>
  <w:style w:type="character" w:styleId="Znakapoznpodarou">
    <w:name w:val="Značka pozn. pod čarou"/>
    <w:qFormat/>
    <w:rPr>
      <w:vertAlign w:val="superscript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Titulek">
    <w:name w:val="Titulek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Zhlavazpat">
    <w:name w:val="Záhlaví a zápatí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>
      <w:szCs w:val="20"/>
    </w:rPr>
  </w:style>
  <w:style w:type="paragraph" w:styleId="BodyTextIndent">
    <w:name w:val="Body Text Indent"/>
    <w:basedOn w:val="Normal"/>
    <w:pPr>
      <w:ind w:firstLine="357" w:start="708" w:end="0"/>
      <w:jc w:val="both"/>
    </w:pPr>
    <w:rPr>
      <w:szCs w:val="20"/>
    </w:rPr>
  </w:style>
  <w:style w:type="paragraph" w:styleId="Hlava">
    <w:name w:val="Hlava"/>
    <w:basedOn w:val="Normal"/>
    <w:qFormat/>
    <w:pPr>
      <w:autoSpaceDE w:val="false"/>
      <w:spacing w:before="240" w:after="0"/>
      <w:jc w:val="center"/>
    </w:pPr>
    <w:rPr/>
  </w:style>
  <w:style w:type="paragraph" w:styleId="Zkladntextodsazen31">
    <w:name w:val="Základní text odsazený 31"/>
    <w:basedOn w:val="Normal"/>
    <w:qFormat/>
    <w:pPr>
      <w:widowControl w:val="false"/>
      <w:tabs>
        <w:tab w:val="clear" w:pos="709"/>
        <w:tab w:val="left" w:pos="1080" w:leader="none"/>
      </w:tabs>
      <w:ind w:hanging="540" w:start="540" w:end="0"/>
      <w:jc w:val="both"/>
    </w:pPr>
    <w:rPr>
      <w:bCs/>
    </w:rPr>
  </w:style>
  <w:style w:type="paragraph" w:styleId="Zkladntextodsazen21">
    <w:name w:val="Základní text odsazený 21"/>
    <w:basedOn w:val="Normal"/>
    <w:qFormat/>
    <w:pPr>
      <w:ind w:firstLine="360" w:start="708" w:end="0"/>
      <w:jc w:val="both"/>
    </w:pPr>
    <w:rPr>
      <w:bCs/>
      <w:szCs w:val="20"/>
    </w:rPr>
  </w:style>
  <w:style w:type="paragraph" w:styleId="Odstavec1">
    <w:name w:val="odstavec 1"/>
    <w:basedOn w:val="Normal"/>
    <w:qFormat/>
    <w:pPr>
      <w:spacing w:before="120" w:after="0"/>
      <w:ind w:firstLine="567" w:start="0" w:end="0"/>
      <w:jc w:val="both"/>
    </w:pPr>
    <w:rPr/>
  </w:style>
  <w:style w:type="paragraph" w:styleId="Seznamoslovan">
    <w:name w:val="Seznam očíslovaný"/>
    <w:basedOn w:val="BodyText"/>
    <w:qFormat/>
    <w:pPr>
      <w:widowControl w:val="false"/>
      <w:spacing w:before="0" w:after="113"/>
      <w:ind w:hanging="424" w:start="425" w:end="0"/>
      <w:jc w:val="both"/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FootnoteText">
    <w:name w:val="Footnote Text"/>
    <w:basedOn w:val="Normal"/>
    <w:pPr>
      <w:suppressLineNumbers/>
      <w:ind w:hanging="339" w:start="339" w:end="0"/>
    </w:pPr>
    <w:rPr>
      <w:sz w:val="20"/>
      <w:szCs w:val="20"/>
    </w:rPr>
  </w:style>
  <w:style w:type="paragraph" w:styleId="Default">
    <w:name w:val="Default"/>
    <w:qFormat/>
    <w:pPr>
      <w:widowControl/>
      <w:suppressAutoHyphens w:val="true"/>
      <w:autoSpaceDE w:val="false"/>
      <w:bidi w:val="0"/>
    </w:pPr>
    <w:rPr>
      <w:rFonts w:ascii="Calibri" w:hAnsi="Calibri" w:eastAsia="Calibri" w:cs="Calibri"/>
      <w:color w:val="000000"/>
      <w:sz w:val="24"/>
      <w:szCs w:val="24"/>
      <w:lang w:val="cs-CZ" w:eastAsia="zh-CN" w:bidi="ar-SA"/>
    </w:rPr>
  </w:style>
  <w:style w:type="paragraph" w:styleId="Obsahtabulky">
    <w:name w:val="Obsah tabulky"/>
    <w:basedOn w:val="Normal"/>
    <w:qFormat/>
    <w:pPr>
      <w:suppressLineNumbers/>
    </w:pPr>
    <w:rPr/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commons.wikimedia.org/wiki/File:Sobotka_CoA_CZ.jpg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footnotes" Target="footnotes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Application>LibreOffice/7.6.1.2$Windows_X86_64 LibreOffice_project/f5defcebd022c5bc36bbb79be232cb6926d8f674</Application>
  <AppVersion>15.0000</AppVersion>
  <Pages>3</Pages>
  <Words>718</Words>
  <Characters>4217</Characters>
  <CharactersWithSpaces>4913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2017-06-27T10:07:00Z</dcterms:created>
  <dc:creator>Jansová Hana</dc:creator>
  <dc:description/>
  <dc:language>cs-CZ</dc:language>
  <cp:lastModifiedBy/>
  <cp:lastPrinted>1995-11-21T17:41:00Z</cp:lastPrinted>
  <dcterms:modified xsi:type="dcterms:W3CDTF">2019-05-24T10:18:40Z</dcterms:modified>
  <cp:revision>37</cp:revision>
  <dc:subject/>
  <dc:title/>
</cp:coreProperties>
</file>