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AA" w:rsidRPr="007C4EAA" w:rsidRDefault="002527E5" w:rsidP="007C4EAA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28575</wp:posOffset>
            </wp:positionV>
            <wp:extent cx="629920" cy="656590"/>
            <wp:effectExtent l="0" t="0" r="0" b="0"/>
            <wp:wrapTight wrapText="bothSides">
              <wp:wrapPolygon edited="0">
                <wp:start x="0" y="0"/>
                <wp:lineTo x="0" y="20681"/>
                <wp:lineTo x="20903" y="20681"/>
                <wp:lineTo x="20903" y="0"/>
                <wp:lineTo x="0" y="0"/>
              </wp:wrapPolygon>
            </wp:wrapTight>
            <wp:docPr id="6" name="obrázek 2" descr="znak_Vratimov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ratimov_b&amp;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EAA" w:rsidRPr="007C4EAA" w:rsidRDefault="007C4EAA" w:rsidP="007C4EAA">
      <w:pPr>
        <w:rPr>
          <w:rFonts w:ascii="Calibri" w:hAnsi="Calibri"/>
          <w:b/>
          <w:sz w:val="36"/>
          <w:szCs w:val="36"/>
        </w:rPr>
      </w:pPr>
      <w:r w:rsidRPr="007C4EAA">
        <w:rPr>
          <w:rFonts w:ascii="Calibri" w:hAnsi="Calibri"/>
          <w:b/>
          <w:sz w:val="36"/>
          <w:szCs w:val="36"/>
        </w:rPr>
        <w:t>Město Vratimov</w:t>
      </w:r>
    </w:p>
    <w:p w:rsidR="007C4EAA" w:rsidRPr="007C4EAA" w:rsidRDefault="007C4EAA" w:rsidP="007C4EAA">
      <w:pPr>
        <w:rPr>
          <w:rFonts w:ascii="Calibri" w:hAnsi="Calibri"/>
          <w:b/>
        </w:rPr>
      </w:pPr>
      <w:r w:rsidRPr="007C4EAA">
        <w:rPr>
          <w:rFonts w:ascii="Calibri" w:hAnsi="Calibri"/>
          <w:b/>
        </w:rPr>
        <w:t>Zastupitelstvo města Vratimov</w:t>
      </w:r>
    </w:p>
    <w:p w:rsidR="007C4EAA" w:rsidRPr="007C4EAA" w:rsidRDefault="007C4EAA" w:rsidP="007C4EAA">
      <w:pPr>
        <w:rPr>
          <w:rFonts w:ascii="Calibri" w:hAnsi="Calibri"/>
          <w:b/>
        </w:rPr>
      </w:pPr>
    </w:p>
    <w:p w:rsidR="007C4EAA" w:rsidRPr="007C4EAA" w:rsidRDefault="007C4EAA" w:rsidP="007C4EAA">
      <w:pPr>
        <w:rPr>
          <w:rFonts w:ascii="Calibri" w:hAnsi="Calibri"/>
        </w:rPr>
      </w:pPr>
    </w:p>
    <w:p w:rsidR="007C4EAA" w:rsidRPr="007C4EAA" w:rsidRDefault="007C4EAA" w:rsidP="007C4EAA">
      <w:pPr>
        <w:rPr>
          <w:rFonts w:ascii="Calibri" w:hAnsi="Calibri"/>
        </w:rPr>
      </w:pPr>
    </w:p>
    <w:p w:rsidR="007C4EAA" w:rsidRPr="007C4EAA" w:rsidRDefault="007C4EAA" w:rsidP="007C4EAA">
      <w:pPr>
        <w:jc w:val="center"/>
        <w:rPr>
          <w:rFonts w:ascii="Calibri" w:hAnsi="Calibri"/>
          <w:b/>
          <w:sz w:val="32"/>
          <w:szCs w:val="32"/>
        </w:rPr>
      </w:pPr>
      <w:r w:rsidRPr="007C4EAA">
        <w:rPr>
          <w:rFonts w:ascii="Calibri" w:hAnsi="Calibri"/>
          <w:b/>
          <w:sz w:val="32"/>
          <w:szCs w:val="32"/>
        </w:rPr>
        <w:t>Obecně závazná vyhláška města Vratimov,</w:t>
      </w:r>
    </w:p>
    <w:p w:rsidR="007C4EAA" w:rsidRPr="007C4EAA" w:rsidRDefault="007C4EAA" w:rsidP="007C4EAA">
      <w:pPr>
        <w:jc w:val="center"/>
        <w:rPr>
          <w:rFonts w:ascii="Calibri" w:hAnsi="Calibri"/>
          <w:b/>
          <w:sz w:val="32"/>
          <w:szCs w:val="32"/>
        </w:rPr>
      </w:pPr>
    </w:p>
    <w:p w:rsidR="007C4EAA" w:rsidRPr="007C4EAA" w:rsidRDefault="007C4EAA" w:rsidP="007C4EAA">
      <w:pPr>
        <w:jc w:val="center"/>
        <w:rPr>
          <w:rFonts w:ascii="Calibri" w:hAnsi="Calibri"/>
        </w:rPr>
      </w:pPr>
      <w:r w:rsidRPr="007C4EAA">
        <w:rPr>
          <w:rFonts w:ascii="Calibri" w:hAnsi="Calibri"/>
          <w:b/>
          <w:sz w:val="28"/>
          <w:szCs w:val="28"/>
        </w:rPr>
        <w:t>kterou se zakazuje požívání alkoholických nápojů za účelem zabezpečení místních záležitostí veřejného pořádku na vymezených veřejných prostranstvích</w:t>
      </w:r>
    </w:p>
    <w:p w:rsidR="007C4EAA" w:rsidRPr="007C4EAA" w:rsidRDefault="007C4EAA" w:rsidP="007C4EAA">
      <w:pPr>
        <w:rPr>
          <w:rFonts w:ascii="Calibri" w:hAnsi="Calibri"/>
        </w:rPr>
      </w:pPr>
    </w:p>
    <w:p w:rsidR="007C4EAA" w:rsidRPr="007C4EAA" w:rsidRDefault="007C4EAA" w:rsidP="007C4EAA">
      <w:pPr>
        <w:rPr>
          <w:rFonts w:ascii="Calibri" w:hAnsi="Calibri"/>
        </w:rPr>
      </w:pPr>
    </w:p>
    <w:p w:rsidR="007C4EAA" w:rsidRPr="007C4EAA" w:rsidRDefault="007C4EAA" w:rsidP="007C4EAA">
      <w:pPr>
        <w:jc w:val="both"/>
        <w:rPr>
          <w:rFonts w:ascii="Calibri" w:hAnsi="Calibri"/>
        </w:rPr>
      </w:pPr>
      <w:r w:rsidRPr="007C4EAA">
        <w:rPr>
          <w:rFonts w:ascii="Calibri" w:hAnsi="Calibri"/>
        </w:rPr>
        <w:t>Zastupitelstvo města Vratimov se na svém 6. zasedání konaném 6.</w:t>
      </w:r>
      <w:r w:rsidR="00A26EFD">
        <w:rPr>
          <w:rFonts w:ascii="Calibri" w:hAnsi="Calibri"/>
        </w:rPr>
        <w:t xml:space="preserve"> prosince 2023 usnesením č. 7/9</w:t>
      </w:r>
      <w:r w:rsidRPr="007C4EAA">
        <w:rPr>
          <w:rFonts w:ascii="Calibri" w:hAnsi="Calibri"/>
        </w:rPr>
        <w:t xml:space="preserve"> usneslo vydat na základě ustanovení § 10 písm. a) a § 84 odst. 2 písm. h) zákona č. 128/2000 Sb., o obcích (obecní zřízení), ve znění pozdějších předpisů (dále jen „zákon o obcích“), tuto obecně závaznou vyhlášku:</w:t>
      </w:r>
    </w:p>
    <w:p w:rsidR="007C4EAA" w:rsidRPr="007C4EAA" w:rsidRDefault="007C4EAA" w:rsidP="007C4EAA">
      <w:pPr>
        <w:jc w:val="both"/>
        <w:rPr>
          <w:rFonts w:ascii="Calibri" w:hAnsi="Calibri"/>
        </w:rPr>
      </w:pPr>
    </w:p>
    <w:p w:rsidR="007C4EAA" w:rsidRPr="007C4EAA" w:rsidRDefault="007C4EAA" w:rsidP="007C4EAA">
      <w:pPr>
        <w:rPr>
          <w:rFonts w:ascii="Calibri" w:hAnsi="Calibri"/>
        </w:rPr>
      </w:pPr>
    </w:p>
    <w:p w:rsidR="007C4EAA" w:rsidRPr="007C4EAA" w:rsidRDefault="007C4EAA" w:rsidP="007C4EAA">
      <w:pPr>
        <w:jc w:val="center"/>
        <w:rPr>
          <w:rFonts w:ascii="Calibri" w:hAnsi="Calibri"/>
          <w:b/>
        </w:rPr>
      </w:pPr>
      <w:r w:rsidRPr="007C4EAA">
        <w:rPr>
          <w:rFonts w:ascii="Calibri" w:hAnsi="Calibri"/>
          <w:b/>
        </w:rPr>
        <w:t>Článek 1</w:t>
      </w:r>
    </w:p>
    <w:p w:rsidR="007C4EAA" w:rsidRPr="007C4EAA" w:rsidRDefault="007C4EAA" w:rsidP="007C4EAA">
      <w:pPr>
        <w:jc w:val="center"/>
        <w:rPr>
          <w:rFonts w:ascii="Calibri" w:hAnsi="Calibri"/>
          <w:b/>
        </w:rPr>
      </w:pPr>
      <w:r w:rsidRPr="007C4EAA">
        <w:rPr>
          <w:rFonts w:ascii="Calibri" w:hAnsi="Calibri"/>
          <w:b/>
        </w:rPr>
        <w:t>Předmět a cíl</w:t>
      </w:r>
    </w:p>
    <w:p w:rsidR="007C4EAA" w:rsidRPr="007C4EAA" w:rsidRDefault="007C4EAA" w:rsidP="007C4EAA">
      <w:pPr>
        <w:jc w:val="center"/>
        <w:rPr>
          <w:rFonts w:ascii="Calibri" w:hAnsi="Calibri"/>
        </w:rPr>
      </w:pP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  <w:r w:rsidRPr="007C4EAA">
        <w:rPr>
          <w:rFonts w:ascii="Calibri" w:hAnsi="Calibri"/>
        </w:rPr>
        <w:t>1.</w:t>
      </w:r>
      <w:r w:rsidRPr="007C4EAA">
        <w:rPr>
          <w:rFonts w:ascii="Calibri" w:hAnsi="Calibri"/>
        </w:rPr>
        <w:tab/>
        <w:t>Předmětem této obecně závazné vyhlášky je zákaz požívání alkoholických nápojů‚ neboť se jedná o činnost, která by mohla narušit veřejný pořádek ve městě nebo být v rozporu s dobrými mravy, ochranou bezpečnosti, zdraví a majetku.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  <w:r w:rsidRPr="007C4EAA">
        <w:rPr>
          <w:rFonts w:ascii="Calibri" w:hAnsi="Calibri"/>
        </w:rPr>
        <w:t>2.</w:t>
      </w:r>
      <w:r w:rsidRPr="007C4EAA">
        <w:rPr>
          <w:rFonts w:ascii="Calibri" w:hAnsi="Calibri"/>
        </w:rPr>
        <w:tab/>
        <w:t>Cílem této obecně závazné vyhlášky je v rámci zabezpečení místních záležitostí veřejného pořádku v katastrálním území Vratimov a Horní Datyně vymezit některé plochy veřejného prostranství, na kterých se zakazuje konzumovat alkoholické nápoje, a tím vytvořit opatření směřující k ochraně veřejného pořádku, zdraví a majetku před negativními jevy spojenými s požíváním alkoholických nápojů.</w:t>
      </w:r>
    </w:p>
    <w:p w:rsidR="007C4EAA" w:rsidRPr="007C4EAA" w:rsidRDefault="007C4EAA" w:rsidP="007C4EAA">
      <w:pPr>
        <w:tabs>
          <w:tab w:val="left" w:pos="426"/>
        </w:tabs>
        <w:jc w:val="both"/>
        <w:rPr>
          <w:rFonts w:ascii="Calibri" w:hAnsi="Calibri"/>
          <w:b/>
        </w:rPr>
      </w:pPr>
    </w:p>
    <w:p w:rsidR="007C4EAA" w:rsidRPr="007C4EAA" w:rsidRDefault="007C4EAA" w:rsidP="007C4EAA">
      <w:pPr>
        <w:jc w:val="both"/>
        <w:rPr>
          <w:rFonts w:ascii="Calibri" w:hAnsi="Calibri"/>
          <w:b/>
        </w:rPr>
      </w:pPr>
    </w:p>
    <w:p w:rsidR="007C4EAA" w:rsidRPr="007C4EAA" w:rsidRDefault="007C4EAA" w:rsidP="007C4EAA">
      <w:pPr>
        <w:jc w:val="center"/>
        <w:rPr>
          <w:rFonts w:ascii="Calibri" w:hAnsi="Calibri"/>
          <w:b/>
        </w:rPr>
      </w:pPr>
      <w:r w:rsidRPr="007C4EAA">
        <w:rPr>
          <w:rFonts w:ascii="Calibri" w:hAnsi="Calibri"/>
          <w:b/>
        </w:rPr>
        <w:t>Článek 2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center"/>
        <w:rPr>
          <w:rFonts w:ascii="Calibri" w:hAnsi="Calibri"/>
          <w:b/>
        </w:rPr>
      </w:pPr>
      <w:r w:rsidRPr="007C4EAA">
        <w:rPr>
          <w:rFonts w:ascii="Calibri" w:hAnsi="Calibri"/>
          <w:b/>
        </w:rPr>
        <w:t>Vymezení pojmů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center"/>
        <w:rPr>
          <w:rFonts w:ascii="Calibri" w:hAnsi="Calibri"/>
        </w:rPr>
      </w:pP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  <w:r w:rsidRPr="007C4EAA">
        <w:rPr>
          <w:rFonts w:ascii="Calibri" w:hAnsi="Calibri"/>
        </w:rPr>
        <w:t>1.</w:t>
      </w:r>
      <w:r w:rsidRPr="007C4EAA">
        <w:rPr>
          <w:rFonts w:ascii="Calibri" w:hAnsi="Calibri"/>
        </w:rPr>
        <w:tab/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7C4EAA">
        <w:rPr>
          <w:rFonts w:ascii="Calibri" w:hAnsi="Calibri"/>
          <w:vertAlign w:val="superscript"/>
        </w:rPr>
        <w:footnoteReference w:id="1"/>
      </w:r>
      <w:r w:rsidRPr="007C4EAA">
        <w:rPr>
          <w:rFonts w:ascii="Calibri" w:hAnsi="Calibri"/>
        </w:rPr>
        <w:t>.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  <w:r w:rsidRPr="007C4EAA">
        <w:rPr>
          <w:rFonts w:ascii="Calibri" w:hAnsi="Calibri"/>
        </w:rPr>
        <w:t>2.</w:t>
      </w:r>
      <w:r w:rsidRPr="007C4EAA">
        <w:rPr>
          <w:rFonts w:ascii="Calibri" w:hAnsi="Calibri"/>
        </w:rPr>
        <w:tab/>
        <w:t>Alkoholickým nápojem se rozumí nápoj obsahující více než 0,5 % objemových ethanolu</w:t>
      </w:r>
      <w:r w:rsidRPr="007C4EAA">
        <w:rPr>
          <w:rFonts w:ascii="Calibri" w:hAnsi="Calibri"/>
          <w:vertAlign w:val="superscript"/>
        </w:rPr>
        <w:footnoteReference w:id="2"/>
      </w:r>
      <w:r w:rsidRPr="007C4EAA">
        <w:rPr>
          <w:rFonts w:ascii="Calibri" w:hAnsi="Calibri"/>
        </w:rPr>
        <w:t>.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</w:p>
    <w:p w:rsidR="0093463B" w:rsidRDefault="0093463B" w:rsidP="007C4EAA">
      <w:pPr>
        <w:tabs>
          <w:tab w:val="left" w:pos="426"/>
        </w:tabs>
        <w:ind w:left="420" w:hanging="420"/>
        <w:jc w:val="center"/>
        <w:rPr>
          <w:rFonts w:ascii="Calibri" w:hAnsi="Calibri"/>
          <w:b/>
        </w:rPr>
      </w:pPr>
    </w:p>
    <w:p w:rsidR="007C4EAA" w:rsidRPr="007C4EAA" w:rsidRDefault="007C4EAA" w:rsidP="007C4EAA">
      <w:pPr>
        <w:tabs>
          <w:tab w:val="left" w:pos="426"/>
        </w:tabs>
        <w:ind w:left="420" w:hanging="420"/>
        <w:jc w:val="center"/>
        <w:rPr>
          <w:rFonts w:ascii="Calibri" w:hAnsi="Calibri"/>
          <w:b/>
        </w:rPr>
      </w:pPr>
      <w:r w:rsidRPr="007C4EAA">
        <w:rPr>
          <w:rFonts w:ascii="Calibri" w:hAnsi="Calibri"/>
          <w:b/>
        </w:rPr>
        <w:lastRenderedPageBreak/>
        <w:t>Článek 3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center"/>
        <w:rPr>
          <w:rFonts w:ascii="Calibri" w:hAnsi="Calibri"/>
          <w:b/>
        </w:rPr>
      </w:pPr>
      <w:r w:rsidRPr="007C4EAA">
        <w:rPr>
          <w:rFonts w:ascii="Calibri" w:hAnsi="Calibri"/>
          <w:b/>
        </w:rPr>
        <w:t>Zákaz požívání alkoholických nápojů na některých veřejných prostranstvích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</w:p>
    <w:p w:rsidR="007C4EAA" w:rsidRPr="007C4EAA" w:rsidRDefault="007C4EAA" w:rsidP="007C4EAA">
      <w:pPr>
        <w:ind w:firstLine="6"/>
        <w:jc w:val="both"/>
        <w:rPr>
          <w:rFonts w:ascii="Calibri" w:hAnsi="Calibri"/>
        </w:rPr>
      </w:pPr>
      <w:r w:rsidRPr="007C4EAA">
        <w:rPr>
          <w:rFonts w:ascii="Calibri" w:hAnsi="Calibri"/>
        </w:rPr>
        <w:t>Požívání alkoholických nápojů a zdržování se s otevřenou nádobou s alkoholickým nápojem (dále jen „zákaz požívání alkoholických nápojů“) je zakázáno:</w:t>
      </w:r>
    </w:p>
    <w:p w:rsidR="007C4EAA" w:rsidRPr="007C4EAA" w:rsidRDefault="007C4EAA" w:rsidP="007C4EAA">
      <w:pPr>
        <w:tabs>
          <w:tab w:val="left" w:pos="426"/>
        </w:tabs>
        <w:ind w:firstLine="6"/>
        <w:jc w:val="both"/>
        <w:rPr>
          <w:rFonts w:ascii="Calibri" w:hAnsi="Calibri"/>
        </w:rPr>
      </w:pPr>
      <w:r w:rsidRPr="007C4EAA">
        <w:rPr>
          <w:rFonts w:ascii="Calibri" w:hAnsi="Calibri"/>
        </w:rPr>
        <w:t xml:space="preserve">a) </w:t>
      </w:r>
      <w:r w:rsidRPr="007C4EAA">
        <w:rPr>
          <w:rFonts w:ascii="Calibri" w:hAnsi="Calibri"/>
        </w:rPr>
        <w:tab/>
        <w:t>na veřejných prostranstvích vymezených v příloze č. 1 této obecně závazné vyhlášky,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  <w:r w:rsidRPr="007C4EAA">
        <w:rPr>
          <w:rFonts w:ascii="Calibri" w:hAnsi="Calibri"/>
        </w:rPr>
        <w:t xml:space="preserve">b) </w:t>
      </w:r>
      <w:r w:rsidRPr="007C4EAA">
        <w:rPr>
          <w:rFonts w:ascii="Calibri" w:hAnsi="Calibri"/>
        </w:rPr>
        <w:tab/>
        <w:t>na sportovištích, dětských hřištích a pískovištích, která jsou přístupná bez omezení, a v okruhu 50 m od nich,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  <w:r w:rsidRPr="007C4EAA">
        <w:rPr>
          <w:rFonts w:ascii="Calibri" w:hAnsi="Calibri"/>
        </w:rPr>
        <w:t xml:space="preserve">c) </w:t>
      </w:r>
      <w:r w:rsidRPr="007C4EAA">
        <w:rPr>
          <w:rFonts w:ascii="Calibri" w:hAnsi="Calibri"/>
        </w:rPr>
        <w:tab/>
        <w:t>v okruhu 50 m od škol, školek a školských zařízení,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  <w:r w:rsidRPr="007C4EAA">
        <w:rPr>
          <w:rFonts w:ascii="Calibri" w:hAnsi="Calibri"/>
        </w:rPr>
        <w:t xml:space="preserve">d) </w:t>
      </w:r>
      <w:r w:rsidRPr="007C4EAA">
        <w:rPr>
          <w:rFonts w:ascii="Calibri" w:hAnsi="Calibri"/>
        </w:rPr>
        <w:tab/>
        <w:t>v prostoru nástupišť veřejné linkové dopravy, za nástupiště veřejné linkové dopravy je považován veřejně přístupný prostor o šířce 5 m a délce 30 m před a 5 m za označníkem ve směru jízdy dopravního prostředku, s výjimkou míst nacházejících se na dráze nebo v obvodu dráhy,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  <w:r w:rsidRPr="007C4EAA">
        <w:rPr>
          <w:rFonts w:ascii="Calibri" w:hAnsi="Calibri"/>
        </w:rPr>
        <w:t>e)</w:t>
      </w:r>
      <w:r w:rsidRPr="007C4EAA">
        <w:rPr>
          <w:rFonts w:ascii="Calibri" w:hAnsi="Calibri"/>
        </w:rPr>
        <w:tab/>
        <w:t>v okruhu 50 m od pietních míst (hřbitovy, pomníky),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  <w:r w:rsidRPr="007C4EAA">
        <w:rPr>
          <w:rFonts w:ascii="Calibri" w:hAnsi="Calibri"/>
        </w:rPr>
        <w:t>f)</w:t>
      </w:r>
      <w:r w:rsidRPr="007C4EAA">
        <w:rPr>
          <w:rFonts w:ascii="Calibri" w:hAnsi="Calibri"/>
        </w:rPr>
        <w:tab/>
        <w:t>v okruhu 50 m od provozoven spojených s prodejem alkoholických nápojů (prodejny potravin, večerky, restaurace).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</w:p>
    <w:p w:rsidR="007C4EAA" w:rsidRPr="007C4EAA" w:rsidRDefault="007C4EAA" w:rsidP="007C4EAA">
      <w:pPr>
        <w:tabs>
          <w:tab w:val="left" w:pos="426"/>
        </w:tabs>
        <w:ind w:left="420" w:hanging="420"/>
        <w:jc w:val="center"/>
        <w:rPr>
          <w:rFonts w:ascii="Calibri" w:hAnsi="Calibri"/>
          <w:b/>
        </w:rPr>
      </w:pPr>
      <w:r w:rsidRPr="007C4EAA">
        <w:rPr>
          <w:rFonts w:ascii="Calibri" w:hAnsi="Calibri"/>
          <w:b/>
        </w:rPr>
        <w:t>Článek 4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center"/>
        <w:rPr>
          <w:rFonts w:ascii="Calibri" w:hAnsi="Calibri"/>
          <w:b/>
        </w:rPr>
      </w:pPr>
      <w:r w:rsidRPr="007C4EAA">
        <w:rPr>
          <w:rFonts w:ascii="Calibri" w:hAnsi="Calibri"/>
          <w:b/>
        </w:rPr>
        <w:t>Výjimky ze zákazu požívání alkoholických nápojů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center"/>
        <w:rPr>
          <w:rFonts w:ascii="Calibri" w:hAnsi="Calibri"/>
          <w:b/>
        </w:rPr>
      </w:pPr>
    </w:p>
    <w:p w:rsidR="007C4EAA" w:rsidRPr="007C4EAA" w:rsidRDefault="007C4EAA" w:rsidP="007C4EAA">
      <w:pPr>
        <w:ind w:firstLine="6"/>
        <w:jc w:val="both"/>
        <w:rPr>
          <w:rFonts w:ascii="Calibri" w:hAnsi="Calibri"/>
        </w:rPr>
      </w:pPr>
      <w:r w:rsidRPr="007C4EAA">
        <w:rPr>
          <w:rFonts w:ascii="Calibri" w:hAnsi="Calibri"/>
        </w:rPr>
        <w:t>Zákaz požívání alkoholických nápojů se nevztahuje na veřejná prostranství vymezená dle článku 3 odst. a):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  <w:r w:rsidRPr="007C4EAA">
        <w:rPr>
          <w:rFonts w:ascii="Calibri" w:hAnsi="Calibri"/>
        </w:rPr>
        <w:t xml:space="preserve">a) </w:t>
      </w:r>
      <w:r w:rsidRPr="007C4EAA">
        <w:rPr>
          <w:rFonts w:ascii="Calibri" w:hAnsi="Calibri"/>
        </w:rPr>
        <w:tab/>
        <w:t>ve dnech 31. prosince a 1. ledna,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  <w:r w:rsidRPr="007C4EAA">
        <w:rPr>
          <w:rFonts w:ascii="Calibri" w:hAnsi="Calibri"/>
        </w:rPr>
        <w:t xml:space="preserve">b) </w:t>
      </w:r>
      <w:r w:rsidRPr="007C4EAA">
        <w:rPr>
          <w:rFonts w:ascii="Calibri" w:hAnsi="Calibri"/>
        </w:rPr>
        <w:tab/>
        <w:t xml:space="preserve">po dobu konání kulturních, sportovních a jiných společenských akcí, 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  <w:r w:rsidRPr="007C4EAA">
        <w:rPr>
          <w:rFonts w:ascii="Calibri" w:hAnsi="Calibri"/>
        </w:rPr>
        <w:t xml:space="preserve">c) </w:t>
      </w:r>
      <w:r w:rsidRPr="007C4EAA">
        <w:rPr>
          <w:rFonts w:ascii="Calibri" w:hAnsi="Calibri"/>
        </w:rPr>
        <w:tab/>
        <w:t>na restaurační zahrádky a předzahrádky poskytující hostinskou činnost, a to po dobu jejich provozu.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</w:p>
    <w:p w:rsidR="007C4EAA" w:rsidRPr="007C4EAA" w:rsidRDefault="007C4EAA" w:rsidP="007C4EAA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</w:p>
    <w:p w:rsidR="007C4EAA" w:rsidRPr="007C4EAA" w:rsidRDefault="007C4EAA" w:rsidP="007C4EAA">
      <w:pPr>
        <w:tabs>
          <w:tab w:val="left" w:pos="426"/>
        </w:tabs>
        <w:ind w:left="420" w:hanging="420"/>
        <w:jc w:val="center"/>
        <w:rPr>
          <w:rFonts w:ascii="Calibri" w:hAnsi="Calibri"/>
          <w:b/>
        </w:rPr>
      </w:pPr>
      <w:r w:rsidRPr="007C4EAA">
        <w:rPr>
          <w:rFonts w:ascii="Calibri" w:hAnsi="Calibri"/>
          <w:b/>
        </w:rPr>
        <w:t>Článek 5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center"/>
        <w:rPr>
          <w:rFonts w:ascii="Calibri" w:hAnsi="Calibri"/>
          <w:b/>
        </w:rPr>
      </w:pPr>
      <w:r w:rsidRPr="007C4EAA">
        <w:rPr>
          <w:rFonts w:ascii="Calibri" w:hAnsi="Calibri"/>
          <w:b/>
        </w:rPr>
        <w:t>Zrušovací ustanovení</w:t>
      </w:r>
    </w:p>
    <w:p w:rsidR="007C4EAA" w:rsidRPr="007C4EAA" w:rsidRDefault="007C4EAA" w:rsidP="007C4EAA">
      <w:pPr>
        <w:tabs>
          <w:tab w:val="left" w:pos="360"/>
        </w:tabs>
        <w:jc w:val="both"/>
        <w:rPr>
          <w:rFonts w:ascii="Calibri" w:hAnsi="Calibri"/>
        </w:rPr>
      </w:pPr>
    </w:p>
    <w:p w:rsidR="007C4EAA" w:rsidRPr="007C4EAA" w:rsidRDefault="007C4EAA" w:rsidP="007C4EAA">
      <w:pPr>
        <w:tabs>
          <w:tab w:val="left" w:pos="426"/>
        </w:tabs>
        <w:jc w:val="both"/>
        <w:rPr>
          <w:rFonts w:ascii="Calibri" w:hAnsi="Calibri"/>
        </w:rPr>
      </w:pPr>
      <w:r w:rsidRPr="007C4EAA">
        <w:rPr>
          <w:rFonts w:ascii="Calibri" w:hAnsi="Calibri"/>
        </w:rPr>
        <w:t xml:space="preserve">Zrušuje se obecně závazná vyhláška č. 1/2009, o zákazu konzumace alkoholických nápojů na veřejném prostranství ve městě, ze </w:t>
      </w:r>
      <w:r w:rsidR="007F012B">
        <w:rPr>
          <w:rFonts w:ascii="Calibri" w:hAnsi="Calibri"/>
        </w:rPr>
        <w:t xml:space="preserve">dne 23. února </w:t>
      </w:r>
      <w:r w:rsidRPr="007C4EAA">
        <w:rPr>
          <w:rFonts w:ascii="Calibri" w:hAnsi="Calibri"/>
        </w:rPr>
        <w:t>2009.</w:t>
      </w:r>
    </w:p>
    <w:p w:rsidR="007C4EAA" w:rsidRPr="007C4EAA" w:rsidRDefault="007C4EAA" w:rsidP="007C4EAA">
      <w:pPr>
        <w:tabs>
          <w:tab w:val="left" w:pos="360"/>
        </w:tabs>
        <w:jc w:val="both"/>
        <w:rPr>
          <w:rFonts w:ascii="Calibri" w:hAnsi="Calibri"/>
        </w:rPr>
      </w:pPr>
    </w:p>
    <w:p w:rsidR="007C4EAA" w:rsidRDefault="007C4EAA" w:rsidP="007C4EAA">
      <w:pPr>
        <w:tabs>
          <w:tab w:val="left" w:pos="426"/>
        </w:tabs>
        <w:ind w:left="420" w:hanging="420"/>
        <w:jc w:val="center"/>
        <w:rPr>
          <w:rFonts w:ascii="Calibri" w:hAnsi="Calibri"/>
          <w:b/>
        </w:rPr>
      </w:pPr>
    </w:p>
    <w:p w:rsidR="007C4EAA" w:rsidRPr="007C4EAA" w:rsidRDefault="007C4EAA" w:rsidP="007C4EAA">
      <w:pPr>
        <w:tabs>
          <w:tab w:val="left" w:pos="426"/>
        </w:tabs>
        <w:ind w:left="420" w:hanging="420"/>
        <w:jc w:val="center"/>
        <w:rPr>
          <w:rFonts w:ascii="Calibri" w:hAnsi="Calibri"/>
          <w:b/>
        </w:rPr>
      </w:pPr>
      <w:r w:rsidRPr="007C4EAA">
        <w:rPr>
          <w:rFonts w:ascii="Calibri" w:hAnsi="Calibri"/>
          <w:b/>
        </w:rPr>
        <w:t>Článek 6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center"/>
        <w:rPr>
          <w:rFonts w:ascii="Calibri" w:hAnsi="Calibri"/>
          <w:b/>
        </w:rPr>
      </w:pPr>
      <w:r w:rsidRPr="007C4EAA">
        <w:rPr>
          <w:rFonts w:ascii="Calibri" w:hAnsi="Calibri"/>
          <w:b/>
        </w:rPr>
        <w:t>Účinnost</w:t>
      </w:r>
    </w:p>
    <w:p w:rsidR="007C4EAA" w:rsidRPr="007C4EAA" w:rsidRDefault="007C4EAA" w:rsidP="007C4EAA">
      <w:pPr>
        <w:tabs>
          <w:tab w:val="left" w:pos="426"/>
        </w:tabs>
        <w:ind w:left="420" w:hanging="420"/>
        <w:jc w:val="center"/>
        <w:rPr>
          <w:rFonts w:ascii="Calibri" w:hAnsi="Calibri"/>
          <w:b/>
        </w:rPr>
      </w:pPr>
    </w:p>
    <w:p w:rsidR="007C4EAA" w:rsidRPr="007C4EAA" w:rsidRDefault="007C4EAA" w:rsidP="007C4EAA">
      <w:pPr>
        <w:tabs>
          <w:tab w:val="left" w:pos="0"/>
        </w:tabs>
        <w:jc w:val="both"/>
        <w:rPr>
          <w:rFonts w:ascii="Calibri" w:hAnsi="Calibri"/>
        </w:rPr>
      </w:pPr>
      <w:r w:rsidRPr="007C4EAA">
        <w:rPr>
          <w:rFonts w:ascii="Calibri" w:hAnsi="Calibri"/>
        </w:rPr>
        <w:t>Tato obecně závazná vyhláška nabývá účinnosti počátkem patnáctého dne následujícího po dni jejího vyhlášení.</w:t>
      </w:r>
    </w:p>
    <w:p w:rsidR="007C4EAA" w:rsidRPr="007C4EAA" w:rsidRDefault="007C4EAA" w:rsidP="007C4EAA">
      <w:pPr>
        <w:tabs>
          <w:tab w:val="left" w:pos="360"/>
        </w:tabs>
        <w:jc w:val="center"/>
        <w:rPr>
          <w:rFonts w:ascii="Calibri" w:hAnsi="Calibri"/>
        </w:rPr>
      </w:pPr>
    </w:p>
    <w:p w:rsidR="007C4EAA" w:rsidRPr="007C4EAA" w:rsidRDefault="007C4EAA" w:rsidP="007C4EAA">
      <w:pPr>
        <w:jc w:val="both"/>
        <w:rPr>
          <w:rFonts w:ascii="Calibri" w:hAnsi="Calibri" w:cs="Arial"/>
          <w:szCs w:val="20"/>
        </w:rPr>
      </w:pPr>
    </w:p>
    <w:p w:rsidR="007C4EAA" w:rsidRPr="007C4EAA" w:rsidRDefault="007C4EAA" w:rsidP="007C4EAA">
      <w:pPr>
        <w:jc w:val="both"/>
        <w:rPr>
          <w:rFonts w:ascii="Calibri" w:hAnsi="Calibri" w:cs="Arial"/>
          <w:szCs w:val="20"/>
        </w:rPr>
      </w:pPr>
    </w:p>
    <w:p w:rsidR="007C4EAA" w:rsidRPr="007C4EAA" w:rsidRDefault="007C4EAA" w:rsidP="007C4EAA">
      <w:pPr>
        <w:jc w:val="both"/>
        <w:rPr>
          <w:rFonts w:ascii="Calibri" w:hAnsi="Calibri" w:cs="Arial"/>
          <w:szCs w:val="20"/>
        </w:rPr>
      </w:pPr>
    </w:p>
    <w:p w:rsidR="007C4EAA" w:rsidRPr="007C4EAA" w:rsidRDefault="007C4EAA" w:rsidP="007C4EAA">
      <w:pPr>
        <w:rPr>
          <w:rFonts w:ascii="Calibri" w:hAnsi="Calibri" w:cs="Arial"/>
          <w:sz w:val="20"/>
          <w:szCs w:val="20"/>
        </w:rPr>
      </w:pPr>
      <w:r w:rsidRPr="007C4EAA">
        <w:rPr>
          <w:rFonts w:ascii="Calibri" w:hAnsi="Calibri" w:cs="Arial"/>
          <w:bCs/>
          <w:szCs w:val="20"/>
        </w:rPr>
        <w:t xml:space="preserve">…………………………………………..                          </w:t>
      </w:r>
      <w:r w:rsidRPr="007C4EAA">
        <w:rPr>
          <w:rFonts w:ascii="Calibri" w:hAnsi="Calibri" w:cs="Arial"/>
          <w:bCs/>
          <w:szCs w:val="20"/>
        </w:rPr>
        <w:tab/>
      </w:r>
      <w:r w:rsidRPr="007C4EAA">
        <w:rPr>
          <w:rFonts w:ascii="Calibri" w:hAnsi="Calibri" w:cs="Arial"/>
          <w:bCs/>
          <w:szCs w:val="20"/>
        </w:rPr>
        <w:tab/>
      </w:r>
      <w:r w:rsidRPr="007C4EAA">
        <w:rPr>
          <w:rFonts w:ascii="Calibri" w:hAnsi="Calibri" w:cs="Arial"/>
          <w:bCs/>
          <w:szCs w:val="20"/>
        </w:rPr>
        <w:tab/>
        <w:t xml:space="preserve">  …………………………………………..</w:t>
      </w:r>
    </w:p>
    <w:p w:rsidR="007C4EAA" w:rsidRPr="007C4EAA" w:rsidRDefault="007C4EAA" w:rsidP="007C4EAA">
      <w:pPr>
        <w:jc w:val="both"/>
        <w:rPr>
          <w:rFonts w:ascii="Calibri" w:hAnsi="Calibri" w:cs="Arial"/>
          <w:szCs w:val="20"/>
        </w:rPr>
      </w:pPr>
      <w:r w:rsidRPr="007C4EAA">
        <w:rPr>
          <w:rFonts w:ascii="Calibri" w:hAnsi="Calibri" w:cs="Arial"/>
          <w:szCs w:val="20"/>
        </w:rPr>
        <w:t xml:space="preserve">            Bc. Martin Čech v. r.</w:t>
      </w:r>
      <w:r w:rsidRPr="007C4EAA">
        <w:rPr>
          <w:rFonts w:ascii="Calibri" w:hAnsi="Calibri" w:cs="Arial"/>
          <w:szCs w:val="20"/>
        </w:rPr>
        <w:tab/>
      </w:r>
      <w:r w:rsidRPr="007C4EAA">
        <w:rPr>
          <w:rFonts w:ascii="Calibri" w:hAnsi="Calibri" w:cs="Arial"/>
          <w:szCs w:val="20"/>
        </w:rPr>
        <w:tab/>
      </w:r>
      <w:r w:rsidRPr="007C4EAA">
        <w:rPr>
          <w:rFonts w:ascii="Calibri" w:hAnsi="Calibri" w:cs="Arial"/>
          <w:szCs w:val="20"/>
        </w:rPr>
        <w:tab/>
      </w:r>
      <w:r w:rsidRPr="007C4EAA">
        <w:rPr>
          <w:rFonts w:ascii="Calibri" w:hAnsi="Calibri" w:cs="Arial"/>
          <w:szCs w:val="20"/>
        </w:rPr>
        <w:tab/>
        <w:t xml:space="preserve">            </w:t>
      </w:r>
      <w:r w:rsidRPr="007C4EAA">
        <w:rPr>
          <w:rFonts w:ascii="Calibri" w:hAnsi="Calibri" w:cs="Arial"/>
          <w:szCs w:val="20"/>
        </w:rPr>
        <w:tab/>
        <w:t xml:space="preserve">            Bc. David Böhm v. r. </w:t>
      </w:r>
    </w:p>
    <w:p w:rsidR="007C4EAA" w:rsidRPr="007C4EAA" w:rsidRDefault="007C4EAA" w:rsidP="007C4EAA">
      <w:pPr>
        <w:rPr>
          <w:rFonts w:ascii="Calibri" w:hAnsi="Calibri" w:cs="Arial"/>
          <w:szCs w:val="20"/>
        </w:rPr>
      </w:pPr>
      <w:r w:rsidRPr="007C4EAA">
        <w:rPr>
          <w:rFonts w:ascii="Calibri" w:hAnsi="Calibri" w:cs="Arial"/>
          <w:szCs w:val="20"/>
        </w:rPr>
        <w:t xml:space="preserve">                   starosta</w:t>
      </w:r>
      <w:r w:rsidRPr="007C4EAA">
        <w:rPr>
          <w:rFonts w:ascii="Calibri" w:hAnsi="Calibri" w:cs="Arial"/>
          <w:szCs w:val="20"/>
        </w:rPr>
        <w:tab/>
      </w:r>
      <w:r w:rsidRPr="007C4EAA">
        <w:rPr>
          <w:rFonts w:ascii="Calibri" w:hAnsi="Calibri" w:cs="Arial"/>
          <w:szCs w:val="20"/>
        </w:rPr>
        <w:tab/>
      </w:r>
      <w:r w:rsidRPr="007C4EAA">
        <w:rPr>
          <w:rFonts w:ascii="Calibri" w:hAnsi="Calibri" w:cs="Arial"/>
          <w:szCs w:val="20"/>
        </w:rPr>
        <w:tab/>
      </w:r>
      <w:r w:rsidRPr="007C4EAA">
        <w:rPr>
          <w:rFonts w:ascii="Calibri" w:hAnsi="Calibri" w:cs="Arial"/>
          <w:szCs w:val="20"/>
        </w:rPr>
        <w:tab/>
      </w:r>
      <w:r w:rsidRPr="007C4EAA">
        <w:rPr>
          <w:rFonts w:ascii="Calibri" w:hAnsi="Calibri" w:cs="Arial"/>
          <w:szCs w:val="20"/>
        </w:rPr>
        <w:tab/>
      </w:r>
      <w:r w:rsidRPr="007C4EAA">
        <w:rPr>
          <w:rFonts w:ascii="Calibri" w:hAnsi="Calibri" w:cs="Arial"/>
          <w:szCs w:val="20"/>
        </w:rPr>
        <w:tab/>
        <w:t xml:space="preserve">              místostarosta</w:t>
      </w:r>
      <w:r w:rsidRPr="007C4EAA">
        <w:rPr>
          <w:rFonts w:ascii="Calibri" w:hAnsi="Calibri" w:cs="Arial"/>
          <w:szCs w:val="20"/>
        </w:rPr>
        <w:tab/>
        <w:t xml:space="preserve">    </w:t>
      </w:r>
    </w:p>
    <w:p w:rsidR="007C4EAA" w:rsidRPr="007C4EAA" w:rsidRDefault="007C4EAA" w:rsidP="007C4EAA">
      <w:pPr>
        <w:jc w:val="both"/>
        <w:rPr>
          <w:rFonts w:ascii="Calibri" w:hAnsi="Calibri" w:cs="Arial"/>
          <w:szCs w:val="20"/>
        </w:rPr>
      </w:pPr>
      <w:r w:rsidRPr="007C4EAA">
        <w:rPr>
          <w:rFonts w:ascii="Calibri" w:hAnsi="Calibri" w:cs="Arial"/>
          <w:szCs w:val="20"/>
        </w:rPr>
        <w:lastRenderedPageBreak/>
        <w:t>Příloha č. 1 obecně závazné vyhlášky s vymezením veřejného prostranství, na kterém se zakazuje požívání alkoholických nápojů – pro účely čl. 3 písm. a) se jedná o veřejná prostranství uvnitř červeně ohraničeného prostoru.</w:t>
      </w:r>
    </w:p>
    <w:p w:rsidR="007C4EAA" w:rsidRPr="007C4EAA" w:rsidRDefault="007C4EAA" w:rsidP="007C4EAA">
      <w:pPr>
        <w:rPr>
          <w:rFonts w:ascii="Calibri" w:hAnsi="Calibri" w:cs="Arial"/>
          <w:szCs w:val="20"/>
        </w:rPr>
      </w:pPr>
    </w:p>
    <w:p w:rsidR="007C4EAA" w:rsidRPr="007C4EAA" w:rsidRDefault="002527E5" w:rsidP="007C4EAA">
      <w:pPr>
        <w:jc w:val="center"/>
        <w:rPr>
          <w:rFonts w:ascii="Calibri" w:hAnsi="Calibri" w:cs="Arial"/>
          <w:noProof/>
          <w:szCs w:val="20"/>
        </w:rPr>
      </w:pPr>
      <w:r w:rsidRPr="007C4EAA">
        <w:rPr>
          <w:rFonts w:ascii="Calibri" w:hAnsi="Calibri" w:cs="Arial"/>
          <w:noProof/>
          <w:szCs w:val="20"/>
        </w:rPr>
        <w:drawing>
          <wp:inline distT="0" distB="0" distL="0" distR="0">
            <wp:extent cx="5562600" cy="5076825"/>
            <wp:effectExtent l="0" t="0" r="0" b="9525"/>
            <wp:docPr id="1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EAA" w:rsidRPr="007C4EAA" w:rsidRDefault="002527E5" w:rsidP="007C4EAA">
      <w:pPr>
        <w:rPr>
          <w:rFonts w:ascii="Calibri" w:hAnsi="Calibri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3275965</wp:posOffset>
                </wp:positionV>
                <wp:extent cx="635" cy="635"/>
                <wp:effectExtent l="0" t="0" r="37465" b="3746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F47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92.15pt;margin-top:257.95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"/>
            </w:pict>
          </mc:Fallback>
        </mc:AlternateContent>
      </w:r>
      <w:r w:rsidR="007C4EAA" w:rsidRPr="007C4EAA">
        <w:rPr>
          <w:rFonts w:ascii="Calibri" w:hAnsi="Calibri" w:cs="Arial"/>
          <w:szCs w:val="20"/>
        </w:rPr>
        <w:t xml:space="preserve">                                 </w:t>
      </w:r>
    </w:p>
    <w:p w:rsidR="004651F1" w:rsidRDefault="004651F1" w:rsidP="002B2A7A">
      <w:pPr>
        <w:jc w:val="both"/>
        <w:rPr>
          <w:rFonts w:ascii="Calibri" w:hAnsi="Calibri"/>
        </w:rPr>
      </w:pPr>
    </w:p>
    <w:p w:rsidR="004651F1" w:rsidRDefault="004651F1" w:rsidP="002B2A7A">
      <w:pPr>
        <w:jc w:val="both"/>
        <w:rPr>
          <w:rFonts w:ascii="Calibri" w:hAnsi="Calibri"/>
        </w:rPr>
      </w:pPr>
    </w:p>
    <w:p w:rsidR="004651F1" w:rsidRDefault="004651F1" w:rsidP="002B2A7A">
      <w:pPr>
        <w:jc w:val="both"/>
        <w:rPr>
          <w:rFonts w:ascii="Calibri" w:hAnsi="Calibri"/>
        </w:rPr>
      </w:pPr>
    </w:p>
    <w:p w:rsidR="004651F1" w:rsidRDefault="004651F1" w:rsidP="002B2A7A">
      <w:pPr>
        <w:jc w:val="both"/>
        <w:rPr>
          <w:rFonts w:ascii="Calibri" w:hAnsi="Calibri"/>
        </w:rPr>
      </w:pPr>
    </w:p>
    <w:p w:rsidR="004651F1" w:rsidRDefault="004651F1" w:rsidP="002B2A7A">
      <w:pPr>
        <w:jc w:val="both"/>
        <w:rPr>
          <w:rFonts w:ascii="Calibri" w:hAnsi="Calibri"/>
        </w:rPr>
      </w:pPr>
    </w:p>
    <w:p w:rsidR="004651F1" w:rsidRDefault="004651F1" w:rsidP="002B2A7A">
      <w:pPr>
        <w:jc w:val="both"/>
        <w:rPr>
          <w:rFonts w:ascii="Calibri" w:hAnsi="Calibri"/>
        </w:rPr>
      </w:pPr>
    </w:p>
    <w:p w:rsidR="007C4EAA" w:rsidRDefault="007C4EAA" w:rsidP="002B2A7A">
      <w:pPr>
        <w:jc w:val="both"/>
        <w:rPr>
          <w:rFonts w:ascii="Calibri" w:hAnsi="Calibri"/>
        </w:rPr>
      </w:pPr>
    </w:p>
    <w:p w:rsidR="007C4EAA" w:rsidRDefault="007C4EAA" w:rsidP="002B2A7A">
      <w:pPr>
        <w:jc w:val="both"/>
        <w:rPr>
          <w:rFonts w:ascii="Calibri" w:hAnsi="Calibri"/>
        </w:rPr>
      </w:pPr>
    </w:p>
    <w:p w:rsidR="007C4EAA" w:rsidRDefault="007C4EAA" w:rsidP="002B2A7A">
      <w:pPr>
        <w:jc w:val="both"/>
        <w:rPr>
          <w:rFonts w:ascii="Calibri" w:hAnsi="Calibri"/>
        </w:rPr>
      </w:pPr>
    </w:p>
    <w:p w:rsidR="007C4EAA" w:rsidRDefault="007C4EAA" w:rsidP="002B2A7A">
      <w:pPr>
        <w:jc w:val="both"/>
        <w:rPr>
          <w:rFonts w:ascii="Calibri" w:hAnsi="Calibri"/>
        </w:rPr>
      </w:pPr>
    </w:p>
    <w:p w:rsidR="007C4EAA" w:rsidRDefault="007C4EAA" w:rsidP="002B2A7A">
      <w:pPr>
        <w:jc w:val="both"/>
        <w:rPr>
          <w:rFonts w:ascii="Calibri" w:hAnsi="Calibri"/>
        </w:rPr>
      </w:pPr>
    </w:p>
    <w:p w:rsidR="004651F1" w:rsidRDefault="004651F1" w:rsidP="002B2A7A">
      <w:pPr>
        <w:jc w:val="both"/>
        <w:rPr>
          <w:rFonts w:ascii="Calibri" w:hAnsi="Calibri"/>
        </w:rPr>
      </w:pPr>
    </w:p>
    <w:p w:rsidR="002B2A7A" w:rsidRDefault="002B2A7A" w:rsidP="002B2A7A">
      <w:pPr>
        <w:jc w:val="both"/>
        <w:rPr>
          <w:rFonts w:ascii="Calibri" w:hAnsi="Calibri"/>
        </w:rPr>
      </w:pPr>
    </w:p>
    <w:sectPr w:rsidR="002B2A7A" w:rsidSect="00DB2257">
      <w:footerReference w:type="even" r:id="rId9"/>
      <w:footerReference w:type="default" r:id="rId10"/>
      <w:footerReference w:type="first" r:id="rId11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26F" w:rsidRDefault="00A1726F">
      <w:r>
        <w:separator/>
      </w:r>
    </w:p>
  </w:endnote>
  <w:endnote w:type="continuationSeparator" w:id="0">
    <w:p w:rsidR="00A1726F" w:rsidRDefault="00A1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 Pro Condensed">
    <w:altName w:val="Arial"/>
    <w:charset w:val="EE"/>
    <w:family w:val="swiss"/>
    <w:pitch w:val="variable"/>
    <w:sig w:usb0="8000002F" w:usb1="50002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98D" w:rsidRDefault="008B698D" w:rsidP="00B526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B698D" w:rsidRDefault="008B69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57" w:rsidRPr="00DB2257" w:rsidRDefault="00DB2257">
    <w:pPr>
      <w:pStyle w:val="Zpat"/>
      <w:jc w:val="center"/>
      <w:rPr>
        <w:rFonts w:ascii="Calibri" w:hAnsi="Calibri"/>
        <w:sz w:val="20"/>
        <w:szCs w:val="20"/>
      </w:rPr>
    </w:pPr>
    <w:r w:rsidRPr="00DB2257">
      <w:rPr>
        <w:rFonts w:ascii="Calibri" w:hAnsi="Calibri"/>
        <w:sz w:val="20"/>
        <w:szCs w:val="20"/>
      </w:rPr>
      <w:fldChar w:fldCharType="begin"/>
    </w:r>
    <w:r w:rsidRPr="00DB2257">
      <w:rPr>
        <w:rFonts w:ascii="Calibri" w:hAnsi="Calibri"/>
        <w:sz w:val="20"/>
        <w:szCs w:val="20"/>
      </w:rPr>
      <w:instrText>PAGE   \* MERGEFORMAT</w:instrText>
    </w:r>
    <w:r w:rsidRPr="00DB2257">
      <w:rPr>
        <w:rFonts w:ascii="Calibri" w:hAnsi="Calibri"/>
        <w:sz w:val="20"/>
        <w:szCs w:val="20"/>
      </w:rPr>
      <w:fldChar w:fldCharType="separate"/>
    </w:r>
    <w:r w:rsidR="002527E5">
      <w:rPr>
        <w:rFonts w:ascii="Calibri" w:hAnsi="Calibri"/>
        <w:noProof/>
        <w:sz w:val="20"/>
        <w:szCs w:val="20"/>
      </w:rPr>
      <w:t>3</w:t>
    </w:r>
    <w:r w:rsidRPr="00DB2257">
      <w:rPr>
        <w:rFonts w:ascii="Calibri" w:hAnsi="Calibri"/>
        <w:sz w:val="20"/>
        <w:szCs w:val="20"/>
      </w:rPr>
      <w:fldChar w:fldCharType="end"/>
    </w:r>
  </w:p>
  <w:p w:rsidR="008B698D" w:rsidRDefault="008B69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57" w:rsidRDefault="00DB2257">
    <w:pPr>
      <w:pStyle w:val="Zpat"/>
      <w:jc w:val="center"/>
    </w:pPr>
  </w:p>
  <w:p w:rsidR="00DB2257" w:rsidRDefault="00DB22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26F" w:rsidRDefault="00A1726F">
      <w:r>
        <w:separator/>
      </w:r>
    </w:p>
  </w:footnote>
  <w:footnote w:type="continuationSeparator" w:id="0">
    <w:p w:rsidR="00A1726F" w:rsidRDefault="00A1726F">
      <w:r>
        <w:continuationSeparator/>
      </w:r>
    </w:p>
  </w:footnote>
  <w:footnote w:id="1">
    <w:p w:rsidR="007C4EAA" w:rsidRPr="002E0F61" w:rsidRDefault="007C4EAA" w:rsidP="007C4EAA">
      <w:pPr>
        <w:pStyle w:val="Textpoznpodarou"/>
        <w:jc w:val="both"/>
        <w:rPr>
          <w:rFonts w:ascii="Calibri" w:hAnsi="Calibri" w:cs="Calibri"/>
        </w:rPr>
      </w:pPr>
      <w:r w:rsidRPr="002E0F61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§ 34 zákona o obcích</w:t>
      </w:r>
    </w:p>
  </w:footnote>
  <w:footnote w:id="2">
    <w:p w:rsidR="007C4EAA" w:rsidRPr="002E0F61" w:rsidRDefault="007C4EAA" w:rsidP="007C4EAA">
      <w:pPr>
        <w:pStyle w:val="Textpoznpodarou"/>
        <w:ind w:left="142" w:hanging="142"/>
        <w:jc w:val="both"/>
        <w:rPr>
          <w:rFonts w:ascii="Calibri" w:hAnsi="Calibri" w:cs="Calibri"/>
        </w:rPr>
      </w:pPr>
      <w:r w:rsidRPr="002E0F61">
        <w:rPr>
          <w:rStyle w:val="Znakapoznpodarou"/>
          <w:rFonts w:ascii="Calibri" w:hAnsi="Calibri" w:cs="Calibri"/>
        </w:rPr>
        <w:footnoteRef/>
      </w:r>
      <w:r w:rsidRPr="002E0F61">
        <w:rPr>
          <w:rFonts w:ascii="Calibri" w:hAnsi="Calibri" w:cs="Calibri"/>
        </w:rPr>
        <w:t xml:space="preserve"> § 2 písm. f) zákon</w:t>
      </w:r>
      <w:r>
        <w:rPr>
          <w:rFonts w:ascii="Calibri" w:hAnsi="Calibri" w:cs="Calibri"/>
        </w:rPr>
        <w:t>a č. 65/2017 Sb., o</w:t>
      </w:r>
      <w:r w:rsidRPr="002E0F61">
        <w:rPr>
          <w:rFonts w:ascii="Calibri" w:hAnsi="Calibri" w:cs="Calibri"/>
        </w:rPr>
        <w:t xml:space="preserve"> ochraně</w:t>
      </w:r>
      <w:r>
        <w:rPr>
          <w:rFonts w:ascii="Calibri" w:hAnsi="Calibri" w:cs="Calibri"/>
        </w:rPr>
        <w:t xml:space="preserve">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66D2"/>
    <w:multiLevelType w:val="hybridMultilevel"/>
    <w:tmpl w:val="E376B4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7443B"/>
    <w:multiLevelType w:val="hybridMultilevel"/>
    <w:tmpl w:val="B1B4C6D6"/>
    <w:lvl w:ilvl="0" w:tplc="62D86C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70C6"/>
    <w:multiLevelType w:val="hybridMultilevel"/>
    <w:tmpl w:val="249CE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E6D41"/>
    <w:multiLevelType w:val="hybridMultilevel"/>
    <w:tmpl w:val="0DFA8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27416"/>
    <w:multiLevelType w:val="hybridMultilevel"/>
    <w:tmpl w:val="5CF69E9E"/>
    <w:lvl w:ilvl="0" w:tplc="C9D6C12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75EE1"/>
    <w:multiLevelType w:val="hybridMultilevel"/>
    <w:tmpl w:val="3E02662A"/>
    <w:lvl w:ilvl="0" w:tplc="03B20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yriad Web Pro Condensed" w:hAnsi="Calibri" w:cs="Myriad Web Pro Condensed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00088"/>
    <w:multiLevelType w:val="hybridMultilevel"/>
    <w:tmpl w:val="9FC0F2BE"/>
    <w:lvl w:ilvl="0" w:tplc="2FE84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92CFB"/>
    <w:multiLevelType w:val="hybridMultilevel"/>
    <w:tmpl w:val="B8FACBAC"/>
    <w:lvl w:ilvl="0" w:tplc="8780A35C">
      <w:start w:val="2"/>
      <w:numFmt w:val="decimal"/>
      <w:lvlText w:val="%1."/>
      <w:lvlJc w:val="left"/>
      <w:pPr>
        <w:tabs>
          <w:tab w:val="num" w:pos="700"/>
        </w:tabs>
        <w:ind w:left="68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A37DD3"/>
    <w:multiLevelType w:val="hybridMultilevel"/>
    <w:tmpl w:val="7CC045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31"/>
    <w:rsid w:val="00005AEB"/>
    <w:rsid w:val="00005C9B"/>
    <w:rsid w:val="00023752"/>
    <w:rsid w:val="00024913"/>
    <w:rsid w:val="0003323E"/>
    <w:rsid w:val="00034AAF"/>
    <w:rsid w:val="000441B2"/>
    <w:rsid w:val="00066238"/>
    <w:rsid w:val="00073960"/>
    <w:rsid w:val="00087667"/>
    <w:rsid w:val="00090DBE"/>
    <w:rsid w:val="000A12DC"/>
    <w:rsid w:val="000A6A31"/>
    <w:rsid w:val="000C552F"/>
    <w:rsid w:val="000D707B"/>
    <w:rsid w:val="000E7DEC"/>
    <w:rsid w:val="000F2F65"/>
    <w:rsid w:val="000F6649"/>
    <w:rsid w:val="00101CAB"/>
    <w:rsid w:val="001164E0"/>
    <w:rsid w:val="00134A5C"/>
    <w:rsid w:val="00164181"/>
    <w:rsid w:val="00171920"/>
    <w:rsid w:val="00174FEA"/>
    <w:rsid w:val="00175ABD"/>
    <w:rsid w:val="0019313B"/>
    <w:rsid w:val="001975F6"/>
    <w:rsid w:val="001B573D"/>
    <w:rsid w:val="001B6200"/>
    <w:rsid w:val="001C11DD"/>
    <w:rsid w:val="001D0107"/>
    <w:rsid w:val="001D08F4"/>
    <w:rsid w:val="001D3C7F"/>
    <w:rsid w:val="001D493C"/>
    <w:rsid w:val="001D5FFB"/>
    <w:rsid w:val="001E6D08"/>
    <w:rsid w:val="002021C3"/>
    <w:rsid w:val="00214C8C"/>
    <w:rsid w:val="00220C63"/>
    <w:rsid w:val="002224CC"/>
    <w:rsid w:val="00231A74"/>
    <w:rsid w:val="00242295"/>
    <w:rsid w:val="002523DC"/>
    <w:rsid w:val="002527E5"/>
    <w:rsid w:val="0025649D"/>
    <w:rsid w:val="00263DCE"/>
    <w:rsid w:val="00271FBF"/>
    <w:rsid w:val="00274A0C"/>
    <w:rsid w:val="00292B5C"/>
    <w:rsid w:val="002B2A7A"/>
    <w:rsid w:val="002B638F"/>
    <w:rsid w:val="002B6571"/>
    <w:rsid w:val="002D43CA"/>
    <w:rsid w:val="002D4A78"/>
    <w:rsid w:val="002E3692"/>
    <w:rsid w:val="002F2795"/>
    <w:rsid w:val="002F63F9"/>
    <w:rsid w:val="002F7281"/>
    <w:rsid w:val="00315AA3"/>
    <w:rsid w:val="00317286"/>
    <w:rsid w:val="003257C3"/>
    <w:rsid w:val="00326C33"/>
    <w:rsid w:val="00332004"/>
    <w:rsid w:val="0033250B"/>
    <w:rsid w:val="00340233"/>
    <w:rsid w:val="0034060B"/>
    <w:rsid w:val="0034201A"/>
    <w:rsid w:val="00345F91"/>
    <w:rsid w:val="00347C5F"/>
    <w:rsid w:val="00352F3F"/>
    <w:rsid w:val="0035677D"/>
    <w:rsid w:val="003662DA"/>
    <w:rsid w:val="003703F9"/>
    <w:rsid w:val="0037161F"/>
    <w:rsid w:val="003A0E5A"/>
    <w:rsid w:val="003A3C76"/>
    <w:rsid w:val="003C03E2"/>
    <w:rsid w:val="003D7CEA"/>
    <w:rsid w:val="003E047D"/>
    <w:rsid w:val="003E0940"/>
    <w:rsid w:val="003E678A"/>
    <w:rsid w:val="003F12C8"/>
    <w:rsid w:val="00401D6D"/>
    <w:rsid w:val="00402D9D"/>
    <w:rsid w:val="00405433"/>
    <w:rsid w:val="00412C9B"/>
    <w:rsid w:val="00412CC2"/>
    <w:rsid w:val="0042481A"/>
    <w:rsid w:val="00434D69"/>
    <w:rsid w:val="00441474"/>
    <w:rsid w:val="004437D2"/>
    <w:rsid w:val="00454635"/>
    <w:rsid w:val="00461E54"/>
    <w:rsid w:val="00463E65"/>
    <w:rsid w:val="004651F1"/>
    <w:rsid w:val="0049556D"/>
    <w:rsid w:val="004973B3"/>
    <w:rsid w:val="004A07D0"/>
    <w:rsid w:val="004A107B"/>
    <w:rsid w:val="004A6E5D"/>
    <w:rsid w:val="004B5EDC"/>
    <w:rsid w:val="004D6A0A"/>
    <w:rsid w:val="004D7BB2"/>
    <w:rsid w:val="00500154"/>
    <w:rsid w:val="00502CE4"/>
    <w:rsid w:val="00516C2D"/>
    <w:rsid w:val="00526175"/>
    <w:rsid w:val="00527503"/>
    <w:rsid w:val="00531200"/>
    <w:rsid w:val="00534C3B"/>
    <w:rsid w:val="00534C9C"/>
    <w:rsid w:val="005353D7"/>
    <w:rsid w:val="0053735F"/>
    <w:rsid w:val="00537E0B"/>
    <w:rsid w:val="0054111C"/>
    <w:rsid w:val="00543AF8"/>
    <w:rsid w:val="00544A6F"/>
    <w:rsid w:val="00566366"/>
    <w:rsid w:val="005721E0"/>
    <w:rsid w:val="00582338"/>
    <w:rsid w:val="00594C21"/>
    <w:rsid w:val="00595BAE"/>
    <w:rsid w:val="005A64A1"/>
    <w:rsid w:val="005B1BCC"/>
    <w:rsid w:val="005E5CE9"/>
    <w:rsid w:val="00606553"/>
    <w:rsid w:val="00622758"/>
    <w:rsid w:val="006258CF"/>
    <w:rsid w:val="00635635"/>
    <w:rsid w:val="00646C6B"/>
    <w:rsid w:val="0065262A"/>
    <w:rsid w:val="00653051"/>
    <w:rsid w:val="0067351E"/>
    <w:rsid w:val="00680020"/>
    <w:rsid w:val="00680160"/>
    <w:rsid w:val="00682E2C"/>
    <w:rsid w:val="006858CA"/>
    <w:rsid w:val="00685CCD"/>
    <w:rsid w:val="006915C6"/>
    <w:rsid w:val="006958D1"/>
    <w:rsid w:val="00697197"/>
    <w:rsid w:val="006A306B"/>
    <w:rsid w:val="006B12ED"/>
    <w:rsid w:val="006B1E3C"/>
    <w:rsid w:val="006B689D"/>
    <w:rsid w:val="006B6FA7"/>
    <w:rsid w:val="006C0159"/>
    <w:rsid w:val="006C0D00"/>
    <w:rsid w:val="006C79CA"/>
    <w:rsid w:val="006D2734"/>
    <w:rsid w:val="006D35EC"/>
    <w:rsid w:val="006E6CBF"/>
    <w:rsid w:val="006F647D"/>
    <w:rsid w:val="00702C76"/>
    <w:rsid w:val="00706ECF"/>
    <w:rsid w:val="007250C1"/>
    <w:rsid w:val="007378C9"/>
    <w:rsid w:val="007475E6"/>
    <w:rsid w:val="007513C3"/>
    <w:rsid w:val="00765605"/>
    <w:rsid w:val="00774850"/>
    <w:rsid w:val="00782339"/>
    <w:rsid w:val="00793599"/>
    <w:rsid w:val="007B0F1A"/>
    <w:rsid w:val="007B3062"/>
    <w:rsid w:val="007C4EAA"/>
    <w:rsid w:val="007C7CAC"/>
    <w:rsid w:val="007D14D7"/>
    <w:rsid w:val="007D1E36"/>
    <w:rsid w:val="007D2146"/>
    <w:rsid w:val="007D2247"/>
    <w:rsid w:val="007D2AF8"/>
    <w:rsid w:val="007E19A8"/>
    <w:rsid w:val="007F012B"/>
    <w:rsid w:val="007F1D71"/>
    <w:rsid w:val="008107E3"/>
    <w:rsid w:val="00831106"/>
    <w:rsid w:val="00837C3E"/>
    <w:rsid w:val="008464A0"/>
    <w:rsid w:val="00846D7F"/>
    <w:rsid w:val="008638E7"/>
    <w:rsid w:val="008703F3"/>
    <w:rsid w:val="00875735"/>
    <w:rsid w:val="00881A68"/>
    <w:rsid w:val="00882203"/>
    <w:rsid w:val="00893CAF"/>
    <w:rsid w:val="008B06B0"/>
    <w:rsid w:val="008B698D"/>
    <w:rsid w:val="008B7F10"/>
    <w:rsid w:val="008C0472"/>
    <w:rsid w:val="008C2C7D"/>
    <w:rsid w:val="008D0DBC"/>
    <w:rsid w:val="008D5501"/>
    <w:rsid w:val="008D6CC1"/>
    <w:rsid w:val="008E4D94"/>
    <w:rsid w:val="0090557E"/>
    <w:rsid w:val="00906B4F"/>
    <w:rsid w:val="00914EAB"/>
    <w:rsid w:val="0092401F"/>
    <w:rsid w:val="0093463B"/>
    <w:rsid w:val="00940193"/>
    <w:rsid w:val="009462AF"/>
    <w:rsid w:val="00947C66"/>
    <w:rsid w:val="00951232"/>
    <w:rsid w:val="0096468F"/>
    <w:rsid w:val="00965D3E"/>
    <w:rsid w:val="009846E1"/>
    <w:rsid w:val="00990076"/>
    <w:rsid w:val="00991A57"/>
    <w:rsid w:val="00996892"/>
    <w:rsid w:val="009A0D7E"/>
    <w:rsid w:val="009A434A"/>
    <w:rsid w:val="009C1699"/>
    <w:rsid w:val="009C16FD"/>
    <w:rsid w:val="009C77B0"/>
    <w:rsid w:val="009D26BE"/>
    <w:rsid w:val="009D75B7"/>
    <w:rsid w:val="009F1062"/>
    <w:rsid w:val="00A00A14"/>
    <w:rsid w:val="00A07D25"/>
    <w:rsid w:val="00A169BA"/>
    <w:rsid w:val="00A1726F"/>
    <w:rsid w:val="00A22D87"/>
    <w:rsid w:val="00A22E59"/>
    <w:rsid w:val="00A26EFD"/>
    <w:rsid w:val="00A35C12"/>
    <w:rsid w:val="00A41706"/>
    <w:rsid w:val="00A43230"/>
    <w:rsid w:val="00A4458E"/>
    <w:rsid w:val="00A532D7"/>
    <w:rsid w:val="00A5421F"/>
    <w:rsid w:val="00A54CD5"/>
    <w:rsid w:val="00A556B3"/>
    <w:rsid w:val="00A63F47"/>
    <w:rsid w:val="00A716F0"/>
    <w:rsid w:val="00A72951"/>
    <w:rsid w:val="00A870E9"/>
    <w:rsid w:val="00A978B5"/>
    <w:rsid w:val="00AA276E"/>
    <w:rsid w:val="00AA2BBF"/>
    <w:rsid w:val="00AA6135"/>
    <w:rsid w:val="00AC6F22"/>
    <w:rsid w:val="00AD24B5"/>
    <w:rsid w:val="00AD6DFC"/>
    <w:rsid w:val="00AD7335"/>
    <w:rsid w:val="00AE72A9"/>
    <w:rsid w:val="00AF15A9"/>
    <w:rsid w:val="00AF2AB5"/>
    <w:rsid w:val="00AF2F06"/>
    <w:rsid w:val="00B04ED3"/>
    <w:rsid w:val="00B06344"/>
    <w:rsid w:val="00B06B1A"/>
    <w:rsid w:val="00B11BDF"/>
    <w:rsid w:val="00B1310D"/>
    <w:rsid w:val="00B131DF"/>
    <w:rsid w:val="00B175FC"/>
    <w:rsid w:val="00B256FD"/>
    <w:rsid w:val="00B32C10"/>
    <w:rsid w:val="00B4067E"/>
    <w:rsid w:val="00B44D93"/>
    <w:rsid w:val="00B52669"/>
    <w:rsid w:val="00B60A67"/>
    <w:rsid w:val="00B60E6B"/>
    <w:rsid w:val="00B658BE"/>
    <w:rsid w:val="00B661A9"/>
    <w:rsid w:val="00B74892"/>
    <w:rsid w:val="00B863C9"/>
    <w:rsid w:val="00B90187"/>
    <w:rsid w:val="00B91E25"/>
    <w:rsid w:val="00B961D9"/>
    <w:rsid w:val="00BA1075"/>
    <w:rsid w:val="00BA1B50"/>
    <w:rsid w:val="00BA2AB2"/>
    <w:rsid w:val="00BA39E6"/>
    <w:rsid w:val="00BA45CE"/>
    <w:rsid w:val="00BB7251"/>
    <w:rsid w:val="00BC12F5"/>
    <w:rsid w:val="00BC62A2"/>
    <w:rsid w:val="00BE73C0"/>
    <w:rsid w:val="00BF2DE4"/>
    <w:rsid w:val="00C114C3"/>
    <w:rsid w:val="00C13BDC"/>
    <w:rsid w:val="00C20A8B"/>
    <w:rsid w:val="00C53D5C"/>
    <w:rsid w:val="00C60863"/>
    <w:rsid w:val="00C63053"/>
    <w:rsid w:val="00C65BF8"/>
    <w:rsid w:val="00C71329"/>
    <w:rsid w:val="00C82612"/>
    <w:rsid w:val="00C94BF9"/>
    <w:rsid w:val="00CA00DE"/>
    <w:rsid w:val="00CC00DE"/>
    <w:rsid w:val="00CC2273"/>
    <w:rsid w:val="00CD03D3"/>
    <w:rsid w:val="00CD2A45"/>
    <w:rsid w:val="00CE01B6"/>
    <w:rsid w:val="00CE3D5B"/>
    <w:rsid w:val="00CE432B"/>
    <w:rsid w:val="00D05C56"/>
    <w:rsid w:val="00D1649D"/>
    <w:rsid w:val="00D25CAC"/>
    <w:rsid w:val="00D31F03"/>
    <w:rsid w:val="00D33B14"/>
    <w:rsid w:val="00D40BEE"/>
    <w:rsid w:val="00D430EF"/>
    <w:rsid w:val="00D44ED4"/>
    <w:rsid w:val="00D6092F"/>
    <w:rsid w:val="00D64949"/>
    <w:rsid w:val="00D65521"/>
    <w:rsid w:val="00D65BA2"/>
    <w:rsid w:val="00D714A1"/>
    <w:rsid w:val="00D72C8A"/>
    <w:rsid w:val="00D81C7E"/>
    <w:rsid w:val="00D8471D"/>
    <w:rsid w:val="00D90086"/>
    <w:rsid w:val="00DA0AC6"/>
    <w:rsid w:val="00DA1339"/>
    <w:rsid w:val="00DA1F55"/>
    <w:rsid w:val="00DB2257"/>
    <w:rsid w:val="00DB22E6"/>
    <w:rsid w:val="00DD343C"/>
    <w:rsid w:val="00DD6556"/>
    <w:rsid w:val="00DE7C72"/>
    <w:rsid w:val="00DE7EE1"/>
    <w:rsid w:val="00DF2CBD"/>
    <w:rsid w:val="00DF3B65"/>
    <w:rsid w:val="00DF72C9"/>
    <w:rsid w:val="00E172A0"/>
    <w:rsid w:val="00E35ABB"/>
    <w:rsid w:val="00E5603C"/>
    <w:rsid w:val="00E70DC0"/>
    <w:rsid w:val="00E7389B"/>
    <w:rsid w:val="00E84B12"/>
    <w:rsid w:val="00E84D24"/>
    <w:rsid w:val="00E91EAF"/>
    <w:rsid w:val="00E93D58"/>
    <w:rsid w:val="00E95EA8"/>
    <w:rsid w:val="00EA1FEC"/>
    <w:rsid w:val="00EA5812"/>
    <w:rsid w:val="00EB2D02"/>
    <w:rsid w:val="00EB2F8B"/>
    <w:rsid w:val="00EC0EFA"/>
    <w:rsid w:val="00ED2ADF"/>
    <w:rsid w:val="00EE37E2"/>
    <w:rsid w:val="00EE4B77"/>
    <w:rsid w:val="00F00D6E"/>
    <w:rsid w:val="00F06903"/>
    <w:rsid w:val="00F1518C"/>
    <w:rsid w:val="00F52565"/>
    <w:rsid w:val="00F60A29"/>
    <w:rsid w:val="00F70F94"/>
    <w:rsid w:val="00F74C64"/>
    <w:rsid w:val="00F8479D"/>
    <w:rsid w:val="00F84E59"/>
    <w:rsid w:val="00F86C26"/>
    <w:rsid w:val="00F86C48"/>
    <w:rsid w:val="00F9034C"/>
    <w:rsid w:val="00F96AFC"/>
    <w:rsid w:val="00F973E2"/>
    <w:rsid w:val="00FA72F5"/>
    <w:rsid w:val="00FB0484"/>
    <w:rsid w:val="00FB19DF"/>
    <w:rsid w:val="00FD1803"/>
    <w:rsid w:val="00FE1324"/>
    <w:rsid w:val="00FF0367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C7C56-36E1-4B90-9663-EC93D923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54CD5"/>
    <w:pPr>
      <w:keepNext/>
      <w:ind w:left="4678"/>
      <w:outlineLvl w:val="0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A54CD5"/>
    <w:pPr>
      <w:ind w:left="142"/>
    </w:pPr>
    <w:rPr>
      <w:szCs w:val="20"/>
    </w:rPr>
  </w:style>
  <w:style w:type="paragraph" w:styleId="Zkladntextodsazen2">
    <w:name w:val="Body Text Indent 2"/>
    <w:basedOn w:val="Normln"/>
    <w:rsid w:val="00A54CD5"/>
    <w:pPr>
      <w:ind w:left="-142"/>
    </w:pPr>
    <w:rPr>
      <w:szCs w:val="20"/>
    </w:rPr>
  </w:style>
  <w:style w:type="paragraph" w:styleId="Zpat">
    <w:name w:val="footer"/>
    <w:basedOn w:val="Normln"/>
    <w:link w:val="ZpatChar"/>
    <w:uiPriority w:val="99"/>
    <w:rsid w:val="00B256F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56FD"/>
  </w:style>
  <w:style w:type="paragraph" w:styleId="Textbubliny">
    <w:name w:val="Balloon Text"/>
    <w:basedOn w:val="Normln"/>
    <w:semiHidden/>
    <w:rsid w:val="00B4067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906B4F"/>
    <w:pPr>
      <w:spacing w:after="120"/>
    </w:pPr>
  </w:style>
  <w:style w:type="paragraph" w:styleId="Odstavecseseznamem">
    <w:name w:val="List Paragraph"/>
    <w:basedOn w:val="Normln"/>
    <w:qFormat/>
    <w:rsid w:val="00906B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A22D8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22D87"/>
    <w:rPr>
      <w:sz w:val="24"/>
      <w:szCs w:val="24"/>
    </w:rPr>
  </w:style>
  <w:style w:type="character" w:customStyle="1" w:styleId="ZpatChar">
    <w:name w:val="Zápatí Char"/>
    <w:link w:val="Zpat"/>
    <w:uiPriority w:val="99"/>
    <w:rsid w:val="00A22D87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7C4EA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C4EAA"/>
  </w:style>
  <w:style w:type="character" w:styleId="Znakapoznpodarou">
    <w:name w:val="footnote reference"/>
    <w:uiPriority w:val="99"/>
    <w:unhideWhenUsed/>
    <w:rsid w:val="007C4E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VRATIMOV</vt:lpstr>
    </vt:vector>
  </TitlesOfParts>
  <Company>Město Vratimov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VRATIMOV</dc:title>
  <dc:subject/>
  <dc:creator>52</dc:creator>
  <cp:keywords/>
  <dc:description/>
  <cp:lastModifiedBy>Petr Holuša</cp:lastModifiedBy>
  <cp:revision>2</cp:revision>
  <cp:lastPrinted>2014-01-03T12:41:00Z</cp:lastPrinted>
  <dcterms:created xsi:type="dcterms:W3CDTF">2023-12-11T09:14:00Z</dcterms:created>
  <dcterms:modified xsi:type="dcterms:W3CDTF">2023-12-11T09:14:00Z</dcterms:modified>
</cp:coreProperties>
</file>