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Město Velké Hamry</w:t>
        <w:br/>
        <w:t>Zastupitelstvo města Velké Hamry</w:t>
      </w:r>
    </w:p>
    <w:p>
      <w:pPr>
        <w:pStyle w:val="Nadpis1"/>
        <w:bidi w:val="0"/>
        <w:rPr/>
      </w:pPr>
      <w:r>
        <w:rPr/>
        <w:t>Obecně závazná vyhláška města Velké Hamry</w:t>
        <w:br/>
        <w:t>o stanovení koeficientu daně z nemovitých věcí</w:t>
      </w:r>
    </w:p>
    <w:p>
      <w:pPr>
        <w:pStyle w:val="UvodniVeta"/>
        <w:bidi w:val="0"/>
        <w:rPr/>
      </w:pPr>
      <w:r>
        <w:rPr/>
        <w:t>Zastupitelstvo města Velké Hamry se na svém zasedání dne 26.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bidi w:val="0"/>
        <w:rPr/>
      </w:pPr>
      <w:r>
        <w:rPr/>
        <w:t>Město Velké Hamry touto vyhláškou stanovuje místní koeficient pro jednotlivou skupinu nemovitých věcí.</w:t>
      </w:r>
    </w:p>
    <w:p>
      <w:pPr>
        <w:pStyle w:val="Nadpis2"/>
        <w:bidi w:val="0"/>
        <w:rPr/>
      </w:pPr>
      <w:r>
        <w:rPr/>
        <w:t>Čl. 2</w:t>
        <w:br/>
        <w:t>Místní koeficient pro jednotlivou skupinu nemovitých věcí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Město Velké Hamry stanovuje místní koeficient pro jednotlivou skupinu staveb dle § 10a odst. 1 zákona o dani z nemovitých věcí, a to pro rekreační budovy ve výši 5,0.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Místní koeficient pro jednotlivou skupinu nemovitých věcí se vztahuje na všechny nemovité věci dané skupiny nemovitých věcí na území celého města Velké Hamry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2025.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Ing. Jaroslav Najman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Ing. David Patrman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12ab odst. 4 zákona o dani z nemovitých věcí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LibreOffice/7.4.5.1$Windows_X86_64 LibreOffice_project/9c0871452b3918c1019dde9bfac75448afc4b57f</Application>
  <AppVersion>15.0000</AppVersion>
  <Pages>1</Pages>
  <Words>212</Words>
  <Characters>1076</Characters>
  <CharactersWithSpaces>1277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2024-08-29T11:44:40Z</dcterms:modified>
  <cp:revision>0</cp:revision>
  <dc:subject/>
  <dc:title/>
</cp:coreProperties>
</file>