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8937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C7D5C5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3CD5752" w14:textId="1124A4F3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 </w:t>
      </w:r>
      <w:r w:rsidR="00D85D99">
        <w:rPr>
          <w:rFonts w:ascii="Arial" w:hAnsi="Arial" w:cs="Arial"/>
          <w:b/>
        </w:rPr>
        <w:t>Děhylov</w:t>
      </w:r>
    </w:p>
    <w:p w14:paraId="479B9DCF" w14:textId="41CD6C51" w:rsidR="00E02807" w:rsidRDefault="00E02807" w:rsidP="00E0280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D85D99">
        <w:rPr>
          <w:rFonts w:ascii="Arial" w:hAnsi="Arial" w:cs="Arial"/>
          <w:b/>
        </w:rPr>
        <w:t>Děhylov</w:t>
      </w:r>
    </w:p>
    <w:p w14:paraId="3801F0CE" w14:textId="77777777" w:rsidR="00E02807" w:rsidRDefault="00E02807" w:rsidP="00E02807">
      <w:pPr>
        <w:spacing w:line="276" w:lineRule="auto"/>
        <w:jc w:val="center"/>
      </w:pPr>
    </w:p>
    <w:p w14:paraId="3D7FEA2D" w14:textId="40C86F30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Obecně závazná vyhláška obce </w:t>
      </w:r>
      <w:r w:rsidR="00D85D99">
        <w:rPr>
          <w:rFonts w:ascii="Arial" w:hAnsi="Arial" w:cs="Arial"/>
          <w:b/>
        </w:rPr>
        <w:t>Děhylov</w:t>
      </w:r>
    </w:p>
    <w:p w14:paraId="6F4783EE" w14:textId="77777777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647F0D2F" w14:textId="77777777" w:rsidR="00E02807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E1BE87A" w14:textId="22F534D8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D85D99">
        <w:rPr>
          <w:rFonts w:ascii="Arial" w:hAnsi="Arial" w:cs="Arial"/>
          <w:b w:val="0"/>
          <w:sz w:val="22"/>
          <w:szCs w:val="22"/>
        </w:rPr>
        <w:t>Děhylov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87647D">
        <w:rPr>
          <w:rFonts w:ascii="Arial" w:hAnsi="Arial" w:cs="Arial"/>
          <w:b w:val="0"/>
          <w:sz w:val="22"/>
          <w:szCs w:val="22"/>
        </w:rPr>
        <w:t xml:space="preserve">12. </w:t>
      </w:r>
      <w:r w:rsidR="00153903">
        <w:rPr>
          <w:rFonts w:ascii="Arial" w:hAnsi="Arial" w:cs="Arial"/>
          <w:b w:val="0"/>
          <w:sz w:val="22"/>
          <w:szCs w:val="22"/>
        </w:rPr>
        <w:t>12. 202</w:t>
      </w:r>
      <w:r w:rsidR="00D85D99">
        <w:rPr>
          <w:rFonts w:ascii="Arial" w:hAnsi="Arial" w:cs="Arial"/>
          <w:b w:val="0"/>
          <w:sz w:val="22"/>
          <w:szCs w:val="22"/>
        </w:rPr>
        <w:t>5</w:t>
      </w:r>
      <w:r w:rsidR="00153903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FB249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B751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4AE69EC" w14:textId="393381F8" w:rsidR="00131160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153903">
        <w:rPr>
          <w:rFonts w:ascii="Arial" w:hAnsi="Arial" w:cs="Arial"/>
          <w:sz w:val="22"/>
          <w:szCs w:val="22"/>
        </w:rPr>
        <w:t>D</w:t>
      </w:r>
      <w:r w:rsidR="00D85D99">
        <w:rPr>
          <w:rFonts w:ascii="Arial" w:hAnsi="Arial" w:cs="Arial"/>
          <w:sz w:val="22"/>
          <w:szCs w:val="22"/>
        </w:rPr>
        <w:t>ěhylov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ED9791E" w14:textId="49D9E67D" w:rsidR="00E02807" w:rsidRPr="00E02807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2224DBE" w14:textId="059798DF"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153903">
        <w:rPr>
          <w:rFonts w:ascii="Arial" w:hAnsi="Arial" w:cs="Arial"/>
          <w:sz w:val="22"/>
          <w:szCs w:val="22"/>
        </w:rPr>
        <w:t>D</w:t>
      </w:r>
      <w:r w:rsidR="00D85D99">
        <w:rPr>
          <w:rFonts w:ascii="Arial" w:hAnsi="Arial" w:cs="Arial"/>
          <w:sz w:val="22"/>
          <w:szCs w:val="22"/>
        </w:rPr>
        <w:t>ěhylov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90D1E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5EDCF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D4EF153" w14:textId="2CAB08B9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E02807">
        <w:rPr>
          <w:rFonts w:ascii="Arial" w:hAnsi="Arial" w:cs="Arial"/>
          <w:color w:val="000000"/>
          <w:sz w:val="22"/>
          <w:szCs w:val="22"/>
        </w:rPr>
        <w:t xml:space="preserve"> </w:t>
      </w:r>
      <w:r w:rsidR="00153903">
        <w:rPr>
          <w:rFonts w:ascii="Arial" w:hAnsi="Arial" w:cs="Arial"/>
          <w:color w:val="000000"/>
          <w:sz w:val="22"/>
          <w:szCs w:val="22"/>
        </w:rPr>
        <w:t>D</w:t>
      </w:r>
      <w:r w:rsidR="00D85D99">
        <w:rPr>
          <w:rFonts w:ascii="Arial" w:hAnsi="Arial" w:cs="Arial"/>
          <w:color w:val="000000"/>
          <w:sz w:val="22"/>
          <w:szCs w:val="22"/>
        </w:rPr>
        <w:t>ěhylov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8CECF2" w14:textId="77777777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16ADA0E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B3C1244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A95A9F8" w14:textId="77777777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3AA6852E" w14:textId="77777777" w:rsidR="00A93CB2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15019BE" w14:textId="77777777" w:rsidR="003D4FDC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8F8544F" w14:textId="7777777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09C71CB7" w14:textId="77777777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C8E322C" w14:textId="59F56A1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02807">
        <w:rPr>
          <w:rFonts w:ascii="Arial" w:hAnsi="Arial" w:cs="Arial"/>
        </w:rPr>
        <w:t>3</w:t>
      </w:r>
    </w:p>
    <w:p w14:paraId="062794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76F6C63" w14:textId="4A6C0778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3860DF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E02807">
        <w:rPr>
          <w:rFonts w:ascii="Arial" w:hAnsi="Arial" w:cs="Arial"/>
          <w:sz w:val="22"/>
          <w:szCs w:val="22"/>
        </w:rPr>
        <w:t>;</w:t>
      </w:r>
      <w:r w:rsidR="00E02807" w:rsidRPr="005C1A51"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5BBAC306" w14:textId="1993691A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</w:t>
      </w:r>
      <w:r w:rsidR="003860DF">
        <w:rPr>
          <w:rFonts w:ascii="Arial" w:hAnsi="Arial" w:cs="Arial"/>
          <w:sz w:val="22"/>
          <w:szCs w:val="22"/>
        </w:rPr>
        <w:t>30</w:t>
      </w:r>
      <w:r w:rsidRPr="003761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DE44F76" w14:textId="77777777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AC94D51" w14:textId="19B08D2A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14:paraId="37A7E209" w14:textId="2524327E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3E97434B" w14:textId="78B1C205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BFD6DC9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469942E" w14:textId="77777777" w:rsidR="00772922" w:rsidRPr="00772922" w:rsidRDefault="0077292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1669295" w14:textId="34834428" w:rsidR="00772922" w:rsidRDefault="001E58D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v případě, že v nemovité věci nemá bydliště žádná fyzická osoba.</w:t>
      </w:r>
      <w:r w:rsidR="00E02807">
        <w:rPr>
          <w:rStyle w:val="Znakapoznpodarou"/>
          <w:sz w:val="22"/>
          <w:szCs w:val="22"/>
        </w:rPr>
        <w:footnoteReference w:id="12"/>
      </w:r>
    </w:p>
    <w:p w14:paraId="1B2DFBC0" w14:textId="2ADA6F3A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5</w:t>
      </w:r>
    </w:p>
    <w:p w14:paraId="4E1FA7C7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2F744B85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B81F912" w14:textId="77324C6D" w:rsidR="00330165" w:rsidRDefault="006A4A80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3860DF">
        <w:rPr>
          <w:rFonts w:ascii="Arial" w:hAnsi="Arial" w:cs="Arial"/>
          <w:sz w:val="22"/>
          <w:szCs w:val="22"/>
        </w:rPr>
        <w:t>0,</w:t>
      </w:r>
      <w:r w:rsidR="00B82B8E">
        <w:rPr>
          <w:rFonts w:ascii="Arial" w:hAnsi="Arial" w:cs="Arial"/>
          <w:sz w:val="22"/>
          <w:szCs w:val="22"/>
        </w:rPr>
        <w:t>8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14:paraId="643CF384" w14:textId="77777777" w:rsidR="00601AB9" w:rsidRPr="006A4A80" w:rsidRDefault="00601AB9" w:rsidP="00601AB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4F3BB943" w14:textId="18E9BC7E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6</w:t>
      </w:r>
    </w:p>
    <w:p w14:paraId="413F14FC" w14:textId="59F0FEFF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2C14D2A0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5E11E1D" w14:textId="77777777" w:rsidR="00601AB9" w:rsidRPr="00601AB9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84D1E25" w14:textId="5877B0D1" w:rsidR="009B3D7F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14:paraId="618A4296" w14:textId="2E6C948B"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lastRenderedPageBreak/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0F3F13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02969D5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1FCDD517" w14:textId="0D735295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7</w:t>
      </w:r>
    </w:p>
    <w:p w14:paraId="36749C7D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32A425AD" w14:textId="246704B3" w:rsidR="00601AB9" w:rsidRDefault="00601AB9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do </w:t>
      </w:r>
      <w:r w:rsidR="00B82B8E">
        <w:rPr>
          <w:rFonts w:ascii="Arial" w:hAnsi="Arial" w:cs="Arial"/>
          <w:sz w:val="22"/>
          <w:szCs w:val="22"/>
        </w:rPr>
        <w:t>31.prosince</w:t>
      </w:r>
      <w:r>
        <w:rPr>
          <w:rFonts w:ascii="Arial" w:hAnsi="Arial" w:cs="Arial"/>
          <w:sz w:val="22"/>
          <w:szCs w:val="22"/>
        </w:rPr>
        <w:t xml:space="preserve"> </w:t>
      </w:r>
      <w:r w:rsidR="00B82B8E">
        <w:rPr>
          <w:rFonts w:ascii="Arial" w:hAnsi="Arial" w:cs="Arial"/>
          <w:sz w:val="22"/>
          <w:szCs w:val="22"/>
        </w:rPr>
        <w:t>příslušného</w:t>
      </w:r>
      <w:r>
        <w:rPr>
          <w:rFonts w:ascii="Arial" w:hAnsi="Arial" w:cs="Arial"/>
          <w:sz w:val="22"/>
          <w:szCs w:val="22"/>
        </w:rPr>
        <w:t xml:space="preserve"> kalendářního roku. </w:t>
      </w:r>
    </w:p>
    <w:p w14:paraId="5E463583" w14:textId="77777777" w:rsidR="006323A6" w:rsidRDefault="006323A6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467FD05C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BEF042D" w14:textId="77777777" w:rsidR="00E02807" w:rsidRDefault="00E02807" w:rsidP="00E028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B7FF449" w14:textId="77777777" w:rsidR="00E02807" w:rsidRDefault="00E02807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6CB685D" w14:textId="77777777" w:rsidR="00E02807" w:rsidRDefault="00E02807" w:rsidP="00E0280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F235457" w14:textId="66FB3929" w:rsidR="00437848" w:rsidRDefault="00E02807" w:rsidP="00437848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color w:val="ED7D31" w:themeColor="accent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</w:t>
      </w:r>
      <w:r w:rsidR="000240FE">
        <w:rPr>
          <w:rFonts w:ascii="Arial" w:hAnsi="Arial" w:cs="Arial"/>
          <w:sz w:val="22"/>
          <w:szCs w:val="22"/>
        </w:rPr>
        <w:t xml:space="preserve"> obce </w:t>
      </w:r>
      <w:r w:rsidR="00D85D99">
        <w:rPr>
          <w:rFonts w:ascii="Arial" w:hAnsi="Arial" w:cs="Arial"/>
          <w:sz w:val="22"/>
          <w:szCs w:val="22"/>
        </w:rPr>
        <w:t>Děhylov</w:t>
      </w:r>
      <w:r w:rsidR="000240FE">
        <w:rPr>
          <w:rFonts w:ascii="Arial" w:hAnsi="Arial" w:cs="Arial"/>
          <w:sz w:val="22"/>
          <w:szCs w:val="22"/>
        </w:rPr>
        <w:t>,</w:t>
      </w:r>
      <w:r w:rsidR="003860DF">
        <w:rPr>
          <w:rFonts w:ascii="Arial" w:hAnsi="Arial" w:cs="Arial"/>
          <w:sz w:val="22"/>
          <w:szCs w:val="22"/>
        </w:rPr>
        <w:t xml:space="preserve"> </w:t>
      </w:r>
      <w:r w:rsidR="00F03BAC">
        <w:rPr>
          <w:rFonts w:ascii="Arial" w:hAnsi="Arial" w:cs="Arial"/>
          <w:sz w:val="22"/>
          <w:szCs w:val="22"/>
        </w:rPr>
        <w:t xml:space="preserve">č. 2/2023 </w:t>
      </w:r>
      <w:r w:rsidR="003860DF">
        <w:rPr>
          <w:rFonts w:ascii="Arial" w:hAnsi="Arial" w:cs="Arial"/>
          <w:sz w:val="22"/>
          <w:szCs w:val="22"/>
        </w:rPr>
        <w:t>o místním poplatku za odkládání komunálního odpadu z nemovité věci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 w:rsidR="00B054F6">
        <w:rPr>
          <w:rFonts w:ascii="Arial" w:hAnsi="Arial" w:cs="Arial"/>
          <w:sz w:val="22"/>
          <w:szCs w:val="22"/>
        </w:rPr>
        <w:t xml:space="preserve"> </w:t>
      </w:r>
      <w:r w:rsidR="00F03BAC">
        <w:rPr>
          <w:rFonts w:ascii="Arial" w:hAnsi="Arial" w:cs="Arial"/>
          <w:sz w:val="22"/>
          <w:szCs w:val="22"/>
        </w:rPr>
        <w:t>19</w:t>
      </w:r>
      <w:r w:rsidR="00D85D99">
        <w:rPr>
          <w:rFonts w:ascii="Arial" w:hAnsi="Arial" w:cs="Arial"/>
          <w:sz w:val="22"/>
          <w:szCs w:val="22"/>
        </w:rPr>
        <w:t>.</w:t>
      </w:r>
      <w:r w:rsidR="00BA40CC">
        <w:rPr>
          <w:rFonts w:ascii="Arial" w:hAnsi="Arial" w:cs="Arial"/>
          <w:sz w:val="22"/>
          <w:szCs w:val="22"/>
        </w:rPr>
        <w:t xml:space="preserve"> </w:t>
      </w:r>
      <w:r w:rsidR="000240FE">
        <w:rPr>
          <w:rFonts w:ascii="Arial" w:hAnsi="Arial" w:cs="Arial"/>
          <w:sz w:val="22"/>
          <w:szCs w:val="22"/>
        </w:rPr>
        <w:t>prosince</w:t>
      </w:r>
      <w:r w:rsidR="00BA40CC">
        <w:rPr>
          <w:rFonts w:ascii="Arial" w:hAnsi="Arial" w:cs="Arial"/>
          <w:sz w:val="22"/>
          <w:szCs w:val="22"/>
        </w:rPr>
        <w:t xml:space="preserve"> 202</w:t>
      </w:r>
      <w:r w:rsidR="000240FE">
        <w:rPr>
          <w:rFonts w:ascii="Arial" w:hAnsi="Arial" w:cs="Arial"/>
          <w:sz w:val="22"/>
          <w:szCs w:val="22"/>
        </w:rPr>
        <w:t>3</w:t>
      </w:r>
      <w:r w:rsidR="00B054F6">
        <w:rPr>
          <w:rFonts w:ascii="Arial" w:hAnsi="Arial" w:cs="Arial"/>
          <w:sz w:val="22"/>
          <w:szCs w:val="22"/>
        </w:rPr>
        <w:t>.</w:t>
      </w:r>
    </w:p>
    <w:p w14:paraId="01BD08F1" w14:textId="77777777" w:rsidR="00F71057" w:rsidRDefault="00F71057" w:rsidP="00437848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C0CC0E5" w14:textId="41D4FE95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9</w:t>
      </w:r>
    </w:p>
    <w:p w14:paraId="2050E5A4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57EAE52" w14:textId="36D68515" w:rsidR="008D6906" w:rsidRPr="002E0EAD" w:rsidRDefault="008D6906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B054F6">
        <w:rPr>
          <w:rFonts w:ascii="Arial" w:hAnsi="Arial" w:cs="Arial"/>
          <w:sz w:val="22"/>
          <w:szCs w:val="22"/>
        </w:rPr>
        <w:t>1. ledna 202</w:t>
      </w:r>
      <w:r w:rsidR="00D85D99">
        <w:rPr>
          <w:rFonts w:ascii="Arial" w:hAnsi="Arial" w:cs="Arial"/>
          <w:sz w:val="22"/>
          <w:szCs w:val="22"/>
        </w:rPr>
        <w:t>6</w:t>
      </w:r>
      <w:r w:rsidR="00B054F6">
        <w:rPr>
          <w:rFonts w:ascii="Arial" w:hAnsi="Arial" w:cs="Arial"/>
          <w:sz w:val="22"/>
          <w:szCs w:val="22"/>
        </w:rPr>
        <w:t>.</w:t>
      </w:r>
    </w:p>
    <w:p w14:paraId="1B9DDC2A" w14:textId="77777777" w:rsidR="00796886" w:rsidRDefault="00796886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color w:val="1A4BD6"/>
        </w:rPr>
      </w:pPr>
    </w:p>
    <w:p w14:paraId="1213F0E1" w14:textId="77777777" w:rsidR="00796886" w:rsidRDefault="00796886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color w:val="1A4BD6"/>
        </w:rPr>
      </w:pPr>
    </w:p>
    <w:p w14:paraId="5C5F33F7" w14:textId="77777777" w:rsidR="00796886" w:rsidRDefault="00796886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color w:val="1A4BD6"/>
        </w:rPr>
      </w:pPr>
    </w:p>
    <w:p w14:paraId="4B597B7F" w14:textId="77777777" w:rsidR="00796886" w:rsidRDefault="00796886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color w:val="1A4BD6"/>
        </w:rPr>
      </w:pPr>
    </w:p>
    <w:p w14:paraId="42E39F23" w14:textId="77777777" w:rsidR="00796886" w:rsidRDefault="00796886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color w:val="1A4BD6"/>
        </w:rPr>
      </w:pPr>
    </w:p>
    <w:p w14:paraId="220CB55E" w14:textId="77777777" w:rsidR="00796886" w:rsidRDefault="00796886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color w:val="1A4BD6"/>
        </w:rPr>
      </w:pPr>
    </w:p>
    <w:p w14:paraId="5C969184" w14:textId="77777777" w:rsidR="00796886" w:rsidRDefault="00796886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color w:val="1A4BD6"/>
        </w:rPr>
      </w:pPr>
    </w:p>
    <w:p w14:paraId="175961E7" w14:textId="77777777" w:rsidR="00796886" w:rsidRDefault="00796886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color w:val="1A4BD6"/>
        </w:rPr>
      </w:pPr>
    </w:p>
    <w:p w14:paraId="53DEE2A2" w14:textId="7C8DC2AC" w:rsidR="000B128C" w:rsidRPr="00E5596E" w:rsidRDefault="00796886" w:rsidP="003B6D13">
      <w:pPr>
        <w:pStyle w:val="Zkladntext"/>
        <w:tabs>
          <w:tab w:val="left" w:pos="1080"/>
          <w:tab w:val="left" w:pos="6660"/>
        </w:tabs>
        <w:spacing w:after="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3B6D13">
        <w:rPr>
          <w:rFonts w:ascii="Arial" w:hAnsi="Arial" w:cs="Arial"/>
          <w:sz w:val="22"/>
          <w:szCs w:val="22"/>
        </w:rPr>
        <w:t xml:space="preserve">    </w:t>
      </w:r>
      <w:r w:rsidR="00E5596E">
        <w:rPr>
          <w:rFonts w:ascii="Arial" w:hAnsi="Arial" w:cs="Arial"/>
          <w:sz w:val="22"/>
          <w:szCs w:val="22"/>
        </w:rPr>
        <w:t xml:space="preserve"> </w:t>
      </w:r>
      <w:r w:rsidR="00D85D99">
        <w:rPr>
          <w:rFonts w:ascii="Arial" w:hAnsi="Arial" w:cs="Arial"/>
          <w:i/>
          <w:iCs/>
          <w:sz w:val="22"/>
          <w:szCs w:val="22"/>
        </w:rPr>
        <w:t>Ing. Blanka Zapletalová v.r.</w:t>
      </w:r>
      <w:r w:rsidR="00E5596E">
        <w:rPr>
          <w:rFonts w:ascii="Arial" w:hAnsi="Arial" w:cs="Arial"/>
          <w:i/>
          <w:iCs/>
          <w:sz w:val="22"/>
          <w:szCs w:val="22"/>
        </w:rPr>
        <w:tab/>
      </w:r>
      <w:r w:rsidR="00D85D99">
        <w:rPr>
          <w:rFonts w:ascii="Arial" w:hAnsi="Arial" w:cs="Arial"/>
          <w:i/>
          <w:iCs/>
          <w:sz w:val="22"/>
          <w:szCs w:val="22"/>
        </w:rPr>
        <w:t>Ludmila Tomášová</w:t>
      </w:r>
      <w:r w:rsidR="00E5596E">
        <w:rPr>
          <w:rFonts w:ascii="Arial" w:hAnsi="Arial" w:cs="Arial"/>
          <w:i/>
          <w:iCs/>
          <w:sz w:val="22"/>
          <w:szCs w:val="22"/>
        </w:rPr>
        <w:t xml:space="preserve"> v.r.</w:t>
      </w:r>
    </w:p>
    <w:p w14:paraId="28A9324D" w14:textId="6F487356" w:rsidR="000B128C" w:rsidRPr="00DF5857" w:rsidRDefault="000B128C" w:rsidP="00796886">
      <w:pPr>
        <w:pStyle w:val="Zkladntext"/>
        <w:tabs>
          <w:tab w:val="left" w:pos="720"/>
          <w:tab w:val="left" w:pos="6525"/>
        </w:tabs>
        <w:spacing w:after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</w:t>
      </w:r>
      <w:r w:rsidR="00796886">
        <w:rPr>
          <w:rFonts w:ascii="Arial" w:hAnsi="Arial" w:cs="Arial"/>
          <w:i/>
          <w:sz w:val="22"/>
          <w:szCs w:val="22"/>
        </w:rPr>
        <w:t xml:space="preserve">...... </w:t>
      </w:r>
      <w:r w:rsidR="00796886">
        <w:rPr>
          <w:rFonts w:ascii="Arial" w:hAnsi="Arial" w:cs="Arial"/>
          <w:i/>
          <w:sz w:val="22"/>
          <w:szCs w:val="22"/>
        </w:rPr>
        <w:tab/>
        <w:t>…………………………</w:t>
      </w:r>
    </w:p>
    <w:p w14:paraId="6C2B8EEE" w14:textId="17FD46D4" w:rsidR="003B6D13" w:rsidRPr="000C2DC4" w:rsidRDefault="000B128C" w:rsidP="00E5596E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ab/>
      </w:r>
    </w:p>
    <w:p w14:paraId="5E1742E9" w14:textId="3431CE71" w:rsidR="003B6D13" w:rsidRPr="007D0182" w:rsidRDefault="003B6D13" w:rsidP="003B6D13">
      <w:pPr>
        <w:pStyle w:val="Zkladntext"/>
        <w:tabs>
          <w:tab w:val="left" w:pos="1440"/>
          <w:tab w:val="left" w:pos="7020"/>
        </w:tabs>
        <w:spacing w:after="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7D0182">
        <w:rPr>
          <w:rFonts w:ascii="Arial" w:hAnsi="Arial" w:cs="Arial"/>
          <w:iCs/>
          <w:sz w:val="22"/>
          <w:szCs w:val="22"/>
        </w:rPr>
        <w:t>starostka                                                                           místostarosta</w:t>
      </w:r>
    </w:p>
    <w:p w14:paraId="11D5926D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95F16BF" w14:textId="77777777" w:rsidR="000B128C" w:rsidRPr="00E836B1" w:rsidRDefault="000B128C" w:rsidP="000B128C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5FF86B3C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8172F4B" w14:textId="77777777" w:rsidR="001157B8" w:rsidRPr="00EC097A" w:rsidRDefault="001157B8" w:rsidP="000B128C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sectPr w:rsidR="001157B8" w:rsidRPr="00EC097A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E3406" w14:textId="77777777" w:rsidR="005C75D8" w:rsidRDefault="005C75D8">
      <w:r>
        <w:separator/>
      </w:r>
    </w:p>
  </w:endnote>
  <w:endnote w:type="continuationSeparator" w:id="0">
    <w:p w14:paraId="305A0B83" w14:textId="77777777" w:rsidR="005C75D8" w:rsidRDefault="005C7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FF2E8" w14:textId="6787F041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05F36">
      <w:rPr>
        <w:noProof/>
      </w:rPr>
      <w:t>1</w:t>
    </w:r>
    <w:r>
      <w:fldChar w:fldCharType="end"/>
    </w:r>
  </w:p>
  <w:p w14:paraId="3C7694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5F31A" w14:textId="77777777" w:rsidR="005C75D8" w:rsidRDefault="005C75D8">
      <w:r>
        <w:separator/>
      </w:r>
    </w:p>
  </w:footnote>
  <w:footnote w:type="continuationSeparator" w:id="0">
    <w:p w14:paraId="12B539C4" w14:textId="77777777" w:rsidR="005C75D8" w:rsidRDefault="005C75D8">
      <w:r>
        <w:continuationSeparator/>
      </w:r>
    </w:p>
  </w:footnote>
  <w:footnote w:id="1">
    <w:p w14:paraId="0EC99DCC" w14:textId="77777777"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5105EAC" w14:textId="77777777" w:rsidR="009D02DA" w:rsidRPr="00B7655D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</w:t>
      </w:r>
      <w:r w:rsidR="00C1031D" w:rsidRPr="00B7655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100CEDBD" w14:textId="77777777" w:rsidR="003D427E" w:rsidRPr="00437848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5B092BDF" w14:textId="77777777"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E4FD68" w14:textId="77777777"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14:paraId="30DA27C5" w14:textId="77777777"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14:paraId="3C3471C1" w14:textId="77777777"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4CA18C72" w14:textId="7BFAFFC6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27345D48" w14:textId="77777777"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460C837A" w14:textId="77777777" w:rsidR="006323A6" w:rsidRPr="00B7655D" w:rsidRDefault="006323A6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FD57C5F" w14:textId="77777777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74104EFE" w14:textId="77777777"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0A30CAB0" w14:textId="77777777" w:rsidR="00E02807" w:rsidRPr="005C1A51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168B6FA4" w14:textId="5BC34DD8" w:rsidR="000F3F13" w:rsidRPr="000F3F13" w:rsidRDefault="000F3F13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39025304">
    <w:abstractNumId w:val="15"/>
  </w:num>
  <w:num w:numId="2" w16cid:durableId="164715094">
    <w:abstractNumId w:val="8"/>
  </w:num>
  <w:num w:numId="3" w16cid:durableId="1271201975">
    <w:abstractNumId w:val="23"/>
  </w:num>
  <w:num w:numId="4" w16cid:durableId="1638876224">
    <w:abstractNumId w:val="9"/>
  </w:num>
  <w:num w:numId="5" w16cid:durableId="371461172">
    <w:abstractNumId w:val="6"/>
  </w:num>
  <w:num w:numId="6" w16cid:durableId="894853223">
    <w:abstractNumId w:val="28"/>
  </w:num>
  <w:num w:numId="7" w16cid:durableId="561017566">
    <w:abstractNumId w:val="12"/>
  </w:num>
  <w:num w:numId="8" w16cid:durableId="1878006615">
    <w:abstractNumId w:val="13"/>
  </w:num>
  <w:num w:numId="9" w16cid:durableId="504055172">
    <w:abstractNumId w:val="11"/>
  </w:num>
  <w:num w:numId="10" w16cid:durableId="1180503642">
    <w:abstractNumId w:val="1"/>
  </w:num>
  <w:num w:numId="11" w16cid:durableId="435101164">
    <w:abstractNumId w:val="10"/>
  </w:num>
  <w:num w:numId="12" w16cid:durableId="961379977">
    <w:abstractNumId w:val="7"/>
  </w:num>
  <w:num w:numId="13" w16cid:durableId="1430083399">
    <w:abstractNumId w:val="21"/>
  </w:num>
  <w:num w:numId="14" w16cid:durableId="1729261895">
    <w:abstractNumId w:val="27"/>
  </w:num>
  <w:num w:numId="15" w16cid:durableId="9210608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541995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3589402">
    <w:abstractNumId w:val="25"/>
  </w:num>
  <w:num w:numId="18" w16cid:durableId="1784571211">
    <w:abstractNumId w:val="5"/>
  </w:num>
  <w:num w:numId="19" w16cid:durableId="1496070550">
    <w:abstractNumId w:val="26"/>
  </w:num>
  <w:num w:numId="20" w16cid:durableId="1428308662">
    <w:abstractNumId w:val="18"/>
  </w:num>
  <w:num w:numId="21" w16cid:durableId="1629705647">
    <w:abstractNumId w:val="24"/>
  </w:num>
  <w:num w:numId="22" w16cid:durableId="1163008594">
    <w:abstractNumId w:val="4"/>
  </w:num>
  <w:num w:numId="23" w16cid:durableId="983700173">
    <w:abstractNumId w:val="29"/>
  </w:num>
  <w:num w:numId="24" w16cid:durableId="82142986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104461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46334182">
    <w:abstractNumId w:val="22"/>
  </w:num>
  <w:num w:numId="27" w16cid:durableId="1666666216">
    <w:abstractNumId w:val="20"/>
  </w:num>
  <w:num w:numId="28" w16cid:durableId="1773431074">
    <w:abstractNumId w:val="3"/>
  </w:num>
  <w:num w:numId="29" w16cid:durableId="556091467">
    <w:abstractNumId w:val="19"/>
  </w:num>
  <w:num w:numId="30" w16cid:durableId="1430541027">
    <w:abstractNumId w:val="2"/>
  </w:num>
  <w:num w:numId="31" w16cid:durableId="1878737568">
    <w:abstractNumId w:val="16"/>
  </w:num>
  <w:num w:numId="32" w16cid:durableId="1344471932">
    <w:abstractNumId w:val="14"/>
  </w:num>
  <w:num w:numId="33" w16cid:durableId="543176332">
    <w:abstractNumId w:val="0"/>
  </w:num>
  <w:num w:numId="34" w16cid:durableId="10415143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2476"/>
    <w:rsid w:val="000040F2"/>
    <w:rsid w:val="00010B51"/>
    <w:rsid w:val="000129AF"/>
    <w:rsid w:val="000166A8"/>
    <w:rsid w:val="00017B56"/>
    <w:rsid w:val="000240FE"/>
    <w:rsid w:val="000345D5"/>
    <w:rsid w:val="00035745"/>
    <w:rsid w:val="000408D0"/>
    <w:rsid w:val="00040EA6"/>
    <w:rsid w:val="000426EB"/>
    <w:rsid w:val="00051F57"/>
    <w:rsid w:val="00053356"/>
    <w:rsid w:val="000538DD"/>
    <w:rsid w:val="000566F2"/>
    <w:rsid w:val="0006450E"/>
    <w:rsid w:val="00066D7D"/>
    <w:rsid w:val="00080BE0"/>
    <w:rsid w:val="00083621"/>
    <w:rsid w:val="000940DC"/>
    <w:rsid w:val="00096E0D"/>
    <w:rsid w:val="000A2391"/>
    <w:rsid w:val="000A3A3B"/>
    <w:rsid w:val="000A53C3"/>
    <w:rsid w:val="000B128C"/>
    <w:rsid w:val="000C002A"/>
    <w:rsid w:val="000C42D4"/>
    <w:rsid w:val="000C6818"/>
    <w:rsid w:val="000C7313"/>
    <w:rsid w:val="000C758D"/>
    <w:rsid w:val="000D3E28"/>
    <w:rsid w:val="000E1CA2"/>
    <w:rsid w:val="000E5C91"/>
    <w:rsid w:val="000E741B"/>
    <w:rsid w:val="000F3F13"/>
    <w:rsid w:val="000F7D4C"/>
    <w:rsid w:val="0010309D"/>
    <w:rsid w:val="001061CD"/>
    <w:rsid w:val="001157B8"/>
    <w:rsid w:val="00120BB4"/>
    <w:rsid w:val="00125EC7"/>
    <w:rsid w:val="00130094"/>
    <w:rsid w:val="00131160"/>
    <w:rsid w:val="0014154F"/>
    <w:rsid w:val="001465CC"/>
    <w:rsid w:val="00153903"/>
    <w:rsid w:val="00154BC3"/>
    <w:rsid w:val="0015713B"/>
    <w:rsid w:val="00160729"/>
    <w:rsid w:val="00173886"/>
    <w:rsid w:val="00182A92"/>
    <w:rsid w:val="00190222"/>
    <w:rsid w:val="00190CA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1584"/>
    <w:rsid w:val="00202FB3"/>
    <w:rsid w:val="002041CE"/>
    <w:rsid w:val="00211F74"/>
    <w:rsid w:val="00215AA7"/>
    <w:rsid w:val="002309C3"/>
    <w:rsid w:val="002333C1"/>
    <w:rsid w:val="00241C4A"/>
    <w:rsid w:val="0024485C"/>
    <w:rsid w:val="0025107F"/>
    <w:rsid w:val="00253954"/>
    <w:rsid w:val="00260886"/>
    <w:rsid w:val="00264B52"/>
    <w:rsid w:val="00264E4B"/>
    <w:rsid w:val="002666C2"/>
    <w:rsid w:val="00266DAC"/>
    <w:rsid w:val="0027609E"/>
    <w:rsid w:val="00276815"/>
    <w:rsid w:val="00277A21"/>
    <w:rsid w:val="002871C2"/>
    <w:rsid w:val="00293E8D"/>
    <w:rsid w:val="002A0DFC"/>
    <w:rsid w:val="002A3A42"/>
    <w:rsid w:val="002C0C5C"/>
    <w:rsid w:val="002C307D"/>
    <w:rsid w:val="002C3721"/>
    <w:rsid w:val="002D1279"/>
    <w:rsid w:val="002D1965"/>
    <w:rsid w:val="002D30C0"/>
    <w:rsid w:val="002E0EAD"/>
    <w:rsid w:val="002E1888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860DF"/>
    <w:rsid w:val="00387C86"/>
    <w:rsid w:val="003911AE"/>
    <w:rsid w:val="003958C3"/>
    <w:rsid w:val="003A74F6"/>
    <w:rsid w:val="003B2625"/>
    <w:rsid w:val="003B4C7B"/>
    <w:rsid w:val="003B6D13"/>
    <w:rsid w:val="003C06E5"/>
    <w:rsid w:val="003C0C49"/>
    <w:rsid w:val="003C2D77"/>
    <w:rsid w:val="003C791B"/>
    <w:rsid w:val="003D33EB"/>
    <w:rsid w:val="003D427E"/>
    <w:rsid w:val="003D4FDC"/>
    <w:rsid w:val="003E3347"/>
    <w:rsid w:val="003E60F6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37848"/>
    <w:rsid w:val="0046626F"/>
    <w:rsid w:val="00472B5D"/>
    <w:rsid w:val="00474813"/>
    <w:rsid w:val="004863D0"/>
    <w:rsid w:val="0048696E"/>
    <w:rsid w:val="004958FB"/>
    <w:rsid w:val="004A2332"/>
    <w:rsid w:val="004A4F0B"/>
    <w:rsid w:val="004B1994"/>
    <w:rsid w:val="004B4A8E"/>
    <w:rsid w:val="004C0427"/>
    <w:rsid w:val="004C0C90"/>
    <w:rsid w:val="004C4655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382E"/>
    <w:rsid w:val="00545904"/>
    <w:rsid w:val="00546149"/>
    <w:rsid w:val="00546241"/>
    <w:rsid w:val="005466B3"/>
    <w:rsid w:val="00550C8C"/>
    <w:rsid w:val="005520CF"/>
    <w:rsid w:val="005620CD"/>
    <w:rsid w:val="005736D7"/>
    <w:rsid w:val="00576D09"/>
    <w:rsid w:val="00584293"/>
    <w:rsid w:val="005867F5"/>
    <w:rsid w:val="005868BA"/>
    <w:rsid w:val="00597E58"/>
    <w:rsid w:val="005B3A3F"/>
    <w:rsid w:val="005B47E4"/>
    <w:rsid w:val="005B5A07"/>
    <w:rsid w:val="005C4381"/>
    <w:rsid w:val="005C75D8"/>
    <w:rsid w:val="005D0C9B"/>
    <w:rsid w:val="005D3C5A"/>
    <w:rsid w:val="005D4726"/>
    <w:rsid w:val="005E2958"/>
    <w:rsid w:val="005E7B72"/>
    <w:rsid w:val="005F6F56"/>
    <w:rsid w:val="00601AB9"/>
    <w:rsid w:val="006032FA"/>
    <w:rsid w:val="006115DB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032E"/>
    <w:rsid w:val="00662522"/>
    <w:rsid w:val="006679FA"/>
    <w:rsid w:val="00670470"/>
    <w:rsid w:val="0067325B"/>
    <w:rsid w:val="00675992"/>
    <w:rsid w:val="00683897"/>
    <w:rsid w:val="00695493"/>
    <w:rsid w:val="006A4A80"/>
    <w:rsid w:val="006C4DB3"/>
    <w:rsid w:val="006D295D"/>
    <w:rsid w:val="006D4118"/>
    <w:rsid w:val="006E6EB8"/>
    <w:rsid w:val="006F616E"/>
    <w:rsid w:val="006F6C96"/>
    <w:rsid w:val="007005F7"/>
    <w:rsid w:val="00700827"/>
    <w:rsid w:val="00713AC1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96886"/>
    <w:rsid w:val="007A15D8"/>
    <w:rsid w:val="007A403B"/>
    <w:rsid w:val="007A4E58"/>
    <w:rsid w:val="007A65BA"/>
    <w:rsid w:val="007A6850"/>
    <w:rsid w:val="007B11D2"/>
    <w:rsid w:val="007B1993"/>
    <w:rsid w:val="007D0182"/>
    <w:rsid w:val="007D1B94"/>
    <w:rsid w:val="007D5339"/>
    <w:rsid w:val="007D5AA9"/>
    <w:rsid w:val="007D6A51"/>
    <w:rsid w:val="007D7D86"/>
    <w:rsid w:val="007E04B6"/>
    <w:rsid w:val="007E7ED9"/>
    <w:rsid w:val="007F045A"/>
    <w:rsid w:val="007F368F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7647D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1011"/>
    <w:rsid w:val="008E43B1"/>
    <w:rsid w:val="008F3152"/>
    <w:rsid w:val="008F37B4"/>
    <w:rsid w:val="008F3859"/>
    <w:rsid w:val="00900DCA"/>
    <w:rsid w:val="00902E23"/>
    <w:rsid w:val="00911359"/>
    <w:rsid w:val="00915F90"/>
    <w:rsid w:val="0091776D"/>
    <w:rsid w:val="00917AB7"/>
    <w:rsid w:val="00924CDB"/>
    <w:rsid w:val="00931436"/>
    <w:rsid w:val="00936907"/>
    <w:rsid w:val="0093742A"/>
    <w:rsid w:val="00942E81"/>
    <w:rsid w:val="00944626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41FC"/>
    <w:rsid w:val="00966286"/>
    <w:rsid w:val="00981101"/>
    <w:rsid w:val="009820E8"/>
    <w:rsid w:val="00985BFB"/>
    <w:rsid w:val="00993888"/>
    <w:rsid w:val="009954F5"/>
    <w:rsid w:val="009A68F7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73A2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850AD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6FB"/>
    <w:rsid w:val="00AC18A4"/>
    <w:rsid w:val="00AC2172"/>
    <w:rsid w:val="00AD1777"/>
    <w:rsid w:val="00AD79BB"/>
    <w:rsid w:val="00AD7BCB"/>
    <w:rsid w:val="00AE6B5D"/>
    <w:rsid w:val="00AF0AC9"/>
    <w:rsid w:val="00AF41F3"/>
    <w:rsid w:val="00B00754"/>
    <w:rsid w:val="00B0176F"/>
    <w:rsid w:val="00B0476F"/>
    <w:rsid w:val="00B054F6"/>
    <w:rsid w:val="00B0696E"/>
    <w:rsid w:val="00B0781C"/>
    <w:rsid w:val="00B10E4F"/>
    <w:rsid w:val="00B17563"/>
    <w:rsid w:val="00B313BE"/>
    <w:rsid w:val="00B33623"/>
    <w:rsid w:val="00B36221"/>
    <w:rsid w:val="00B369A7"/>
    <w:rsid w:val="00B464A7"/>
    <w:rsid w:val="00B47464"/>
    <w:rsid w:val="00B63BFF"/>
    <w:rsid w:val="00B71306"/>
    <w:rsid w:val="00B75719"/>
    <w:rsid w:val="00B7655D"/>
    <w:rsid w:val="00B806F8"/>
    <w:rsid w:val="00B82B8E"/>
    <w:rsid w:val="00B82D08"/>
    <w:rsid w:val="00B86441"/>
    <w:rsid w:val="00BA1E8D"/>
    <w:rsid w:val="00BA1EDF"/>
    <w:rsid w:val="00BA40CC"/>
    <w:rsid w:val="00BB3316"/>
    <w:rsid w:val="00BB63F9"/>
    <w:rsid w:val="00BC17DA"/>
    <w:rsid w:val="00BC3CDA"/>
    <w:rsid w:val="00BF1307"/>
    <w:rsid w:val="00BF79B0"/>
    <w:rsid w:val="00C05F36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E435E"/>
    <w:rsid w:val="00CF0B00"/>
    <w:rsid w:val="00CF64BC"/>
    <w:rsid w:val="00D012E1"/>
    <w:rsid w:val="00D122A6"/>
    <w:rsid w:val="00D1405D"/>
    <w:rsid w:val="00D14B0D"/>
    <w:rsid w:val="00D2245F"/>
    <w:rsid w:val="00D2283E"/>
    <w:rsid w:val="00D238A1"/>
    <w:rsid w:val="00D2434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17FC"/>
    <w:rsid w:val="00D727CA"/>
    <w:rsid w:val="00D85D99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0AA6"/>
    <w:rsid w:val="00DE18CB"/>
    <w:rsid w:val="00DE4471"/>
    <w:rsid w:val="00DE4F19"/>
    <w:rsid w:val="00DF4D9E"/>
    <w:rsid w:val="00DF7748"/>
    <w:rsid w:val="00E02807"/>
    <w:rsid w:val="00E033AB"/>
    <w:rsid w:val="00E10B6A"/>
    <w:rsid w:val="00E114A3"/>
    <w:rsid w:val="00E121E8"/>
    <w:rsid w:val="00E13E49"/>
    <w:rsid w:val="00E16F29"/>
    <w:rsid w:val="00E17B5D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5596E"/>
    <w:rsid w:val="00E60EC7"/>
    <w:rsid w:val="00E633AD"/>
    <w:rsid w:val="00E639E1"/>
    <w:rsid w:val="00E64A72"/>
    <w:rsid w:val="00E67F73"/>
    <w:rsid w:val="00E71DE2"/>
    <w:rsid w:val="00E7558A"/>
    <w:rsid w:val="00E75755"/>
    <w:rsid w:val="00E80C5F"/>
    <w:rsid w:val="00E86AD7"/>
    <w:rsid w:val="00E907D6"/>
    <w:rsid w:val="00E95EDA"/>
    <w:rsid w:val="00EA57B1"/>
    <w:rsid w:val="00EA64B3"/>
    <w:rsid w:val="00EB020B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3BAC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46A61"/>
    <w:rsid w:val="00F51F7D"/>
    <w:rsid w:val="00F53039"/>
    <w:rsid w:val="00F55DE6"/>
    <w:rsid w:val="00F700F8"/>
    <w:rsid w:val="00F71057"/>
    <w:rsid w:val="00F716C9"/>
    <w:rsid w:val="00F8166C"/>
    <w:rsid w:val="00F91DE1"/>
    <w:rsid w:val="00F953FF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CD13F3"/>
  <w15:docId w15:val="{2DA2E63F-EBC0-439F-BF5F-D0B1BA350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5B913-7912-48F4-90FA-0459DB30A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560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Administrator Administrator</cp:lastModifiedBy>
  <cp:revision>2</cp:revision>
  <cp:lastPrinted>2024-11-18T08:49:00Z</cp:lastPrinted>
  <dcterms:created xsi:type="dcterms:W3CDTF">2025-12-16T10:05:00Z</dcterms:created>
  <dcterms:modified xsi:type="dcterms:W3CDTF">2025-12-16T10:05:00Z</dcterms:modified>
</cp:coreProperties>
</file>