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CF" w:rsidRPr="005E7B3C" w:rsidRDefault="00DF26CF" w:rsidP="00DF26CF">
      <w:pPr>
        <w:spacing w:after="120"/>
        <w:jc w:val="center"/>
        <w:rPr>
          <w:rFonts w:ascii="Palatino Linotype" w:hAnsi="Palatino Linotype"/>
          <w:b/>
          <w:bCs/>
          <w:sz w:val="28"/>
          <w:szCs w:val="28"/>
        </w:rPr>
      </w:pPr>
      <w:bookmarkStart w:id="0" w:name="_GoBack"/>
      <w:bookmarkEnd w:id="0"/>
      <w:r w:rsidRPr="005E7B3C">
        <w:rPr>
          <w:rFonts w:ascii="Palatino Linotype" w:hAnsi="Palatino Linotype"/>
          <w:b/>
          <w:bCs/>
          <w:sz w:val="28"/>
          <w:szCs w:val="28"/>
        </w:rPr>
        <w:t xml:space="preserve">Obecně závazná vyhláška obce Hvozdnice č. </w:t>
      </w:r>
      <w:r>
        <w:rPr>
          <w:rFonts w:ascii="Palatino Linotype" w:hAnsi="Palatino Linotype"/>
          <w:b/>
          <w:bCs/>
          <w:sz w:val="28"/>
          <w:szCs w:val="28"/>
        </w:rPr>
        <w:t>1</w:t>
      </w:r>
      <w:r w:rsidRPr="005E7B3C">
        <w:rPr>
          <w:rFonts w:ascii="Palatino Linotype" w:hAnsi="Palatino Linotype"/>
          <w:b/>
          <w:bCs/>
          <w:sz w:val="28"/>
          <w:szCs w:val="28"/>
        </w:rPr>
        <w:t>/201</w:t>
      </w:r>
      <w:r>
        <w:rPr>
          <w:rFonts w:ascii="Palatino Linotype" w:hAnsi="Palatino Linotype"/>
          <w:b/>
          <w:bCs/>
          <w:sz w:val="28"/>
          <w:szCs w:val="28"/>
        </w:rPr>
        <w:t>2</w:t>
      </w:r>
    </w:p>
    <w:p w:rsidR="00DF26CF" w:rsidRPr="00DF26CF" w:rsidRDefault="00DF26CF" w:rsidP="00DF26CF">
      <w:pPr>
        <w:spacing w:after="120"/>
        <w:jc w:val="center"/>
        <w:rPr>
          <w:rFonts w:ascii="Palatino Linotype" w:hAnsi="Palatino Linotype"/>
          <w:bCs/>
          <w:sz w:val="28"/>
          <w:szCs w:val="28"/>
        </w:rPr>
      </w:pPr>
      <w:r w:rsidRPr="00DF26CF">
        <w:rPr>
          <w:rFonts w:ascii="Palatino Linotype" w:hAnsi="Palatino Linotype"/>
          <w:bCs/>
          <w:sz w:val="28"/>
          <w:szCs w:val="28"/>
        </w:rPr>
        <w:t xml:space="preserve">ze dne 08. června 2012 </w:t>
      </w:r>
    </w:p>
    <w:p w:rsidR="00DF26CF" w:rsidRPr="006C5EEF" w:rsidRDefault="00DF26CF" w:rsidP="00DF26CF">
      <w:pPr>
        <w:spacing w:after="120"/>
        <w:jc w:val="center"/>
        <w:rPr>
          <w:rFonts w:ascii="Palatino Linotype" w:eastAsia="Calibri" w:hAnsi="Palatino Linotype"/>
          <w:b/>
          <w:sz w:val="28"/>
          <w:szCs w:val="28"/>
          <w:lang w:eastAsia="en-US"/>
        </w:rPr>
      </w:pPr>
      <w:r w:rsidRPr="00DF26CF">
        <w:rPr>
          <w:rFonts w:ascii="Palatino Linotype" w:hAnsi="Palatino Linotype"/>
          <w:sz w:val="28"/>
          <w:szCs w:val="28"/>
        </w:rPr>
        <w:t xml:space="preserve">o organizaci požární ochrany - </w:t>
      </w:r>
      <w:r w:rsidRPr="006C5EEF">
        <w:rPr>
          <w:rFonts w:ascii="Palatino Linotype" w:hAnsi="Palatino Linotype"/>
          <w:b/>
          <w:sz w:val="28"/>
          <w:szCs w:val="28"/>
        </w:rPr>
        <w:t>Požární řád</w:t>
      </w:r>
    </w:p>
    <w:p w:rsidR="00DF26CF" w:rsidRPr="00DF26CF" w:rsidRDefault="00DF26CF" w:rsidP="00DF26CF">
      <w:pPr>
        <w:pStyle w:val="Zhlav"/>
        <w:spacing w:before="0"/>
        <w:rPr>
          <w:rFonts w:ascii="Palatino Linotype" w:hAnsi="Palatino Linotype"/>
          <w:sz w:val="28"/>
          <w:szCs w:val="28"/>
        </w:rPr>
      </w:pPr>
    </w:p>
    <w:p w:rsidR="00DF26CF" w:rsidRDefault="00DF26CF" w:rsidP="00DF26CF">
      <w:pPr>
        <w:pStyle w:val="Zhlav"/>
        <w:spacing w:before="0"/>
        <w:rPr>
          <w:rFonts w:ascii="Palatino Linotype" w:hAnsi="Palatino Linotype"/>
        </w:rPr>
      </w:pP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  <w:r w:rsidRPr="00855D7E">
        <w:rPr>
          <w:rFonts w:ascii="Palatino Linotype" w:hAnsi="Palatino Linotype"/>
        </w:rPr>
        <w:t>Zastupitelstvo obce Hvozdnice se na svém zasedání dne 08. června 2012 usnesením č. II/8 usneslo vydat v souladu s ust. § 10 písm. d) a ust. § 84 odst. 2 písm. h) zákona č. 128/2000 Sb., o obcích (obecní zřízení), ve znění pozdějších předpisů, na základě ust. § 29 odst. 1 písm. o) bod 1. zákona č. 133/1985 Sb., o požární ochraně, ve znění pozdějších předpisů a podle ust. § 1 odst. 3 písm. d) a ust. § 15 na</w:t>
      </w:r>
      <w:r w:rsidR="006C5EEF">
        <w:rPr>
          <w:rFonts w:ascii="Palatino Linotype" w:hAnsi="Palatino Linotype"/>
        </w:rPr>
        <w:t xml:space="preserve">řízení vlády č. 172/2001 Sb., k provedení </w:t>
      </w:r>
      <w:r w:rsidRPr="00855D7E">
        <w:rPr>
          <w:rFonts w:ascii="Palatino Linotype" w:hAnsi="Palatino Linotype"/>
        </w:rPr>
        <w:t>zákona o požární ochraně, ve znění nařízení vlády č. 498/2002 Sb., tuto obecně závaznou vyhlášku, Požární řád obce Hvozdnice.</w:t>
      </w: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  <w:r>
        <w:rPr>
          <w:rFonts w:ascii="Palatino Linotype" w:hAnsi="Palatino Linotype"/>
        </w:rPr>
        <w:t>Vyvěšeno: 1</w:t>
      </w:r>
      <w:r w:rsidR="00777464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. června 2012</w:t>
      </w: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Svěšeno: </w:t>
      </w:r>
      <w:r w:rsidR="00777464">
        <w:rPr>
          <w:rFonts w:ascii="Palatino Linotype" w:hAnsi="Palatino Linotype"/>
        </w:rPr>
        <w:t>30</w:t>
      </w:r>
      <w:r>
        <w:rPr>
          <w:rFonts w:ascii="Palatino Linotype" w:hAnsi="Palatino Linotype"/>
        </w:rPr>
        <w:t>. června 2012</w:t>
      </w: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855D7E" w:rsidRDefault="00BD191C" w:rsidP="00855D7E">
      <w:pPr>
        <w:pStyle w:val="Zhlav"/>
        <w:spacing w:before="0"/>
        <w:rPr>
          <w:rFonts w:ascii="Palatino Linotype" w:hAnsi="Palatino Linotype"/>
        </w:rPr>
      </w:pPr>
      <w:r>
        <w:rPr>
          <w:rFonts w:ascii="Palatino Linotype" w:hAnsi="Palatino Linotype"/>
        </w:rPr>
        <w:t>Razítko obce</w:t>
      </w:r>
    </w:p>
    <w:p w:rsidR="00BD191C" w:rsidRDefault="00BD191C" w:rsidP="00855D7E">
      <w:pPr>
        <w:pStyle w:val="Zhlav"/>
        <w:spacing w:before="0"/>
        <w:rPr>
          <w:rFonts w:ascii="Palatino Linotype" w:hAnsi="Palatino Linotype"/>
        </w:rPr>
      </w:pPr>
      <w:r>
        <w:rPr>
          <w:rFonts w:ascii="Palatino Linotype" w:hAnsi="Palatino Linotype"/>
        </w:rPr>
        <w:t>Helena Kučerová, v.r.</w:t>
      </w:r>
    </w:p>
    <w:p w:rsidR="00855D7E" w:rsidRPr="00855D7E" w:rsidRDefault="00855D7E" w:rsidP="00855D7E">
      <w:pPr>
        <w:pStyle w:val="Zhlav"/>
        <w:spacing w:before="0"/>
        <w:rPr>
          <w:rFonts w:ascii="Palatino Linotype" w:hAnsi="Palatino Linotype"/>
        </w:rPr>
      </w:pPr>
    </w:p>
    <w:p w:rsidR="003907D1" w:rsidRDefault="00855D7E" w:rsidP="00855D7E">
      <w:pPr>
        <w:tabs>
          <w:tab w:val="left" w:pos="6840"/>
        </w:tabs>
        <w:spacing w:before="120" w:line="360" w:lineRule="exact"/>
        <w:ind w:firstLine="709"/>
        <w:jc w:val="both"/>
        <w:rPr>
          <w:w w:val="110"/>
          <w:sz w:val="20"/>
          <w:u w:val="single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br w:type="page"/>
      </w:r>
      <w:r w:rsidR="003907D1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Popis: Hvozdnice,znak,b" style="position:absolute;left:0;text-align:left;margin-left:378pt;margin-top:0;width:59.55pt;height:65.15pt;z-index:251657728;visibility:visible">
            <v:imagedata r:id="rId7" o:title="Hvozdnice,znak,b"/>
            <w10:wrap anchorx="page"/>
          </v:shape>
        </w:pict>
      </w:r>
      <w:r w:rsidR="003907D1">
        <w:rPr>
          <w:b/>
          <w:bCs/>
          <w:w w:val="110"/>
          <w:sz w:val="44"/>
          <w:u w:val="single"/>
        </w:rPr>
        <w:t>O B E C   H V O Z D N I C E</w:t>
      </w:r>
      <w:r w:rsidR="003907D1">
        <w:rPr>
          <w:w w:val="110"/>
          <w:sz w:val="20"/>
          <w:u w:val="single"/>
        </w:rPr>
        <w:t xml:space="preserve"> </w:t>
      </w:r>
    </w:p>
    <w:p w:rsidR="003907D1" w:rsidRDefault="003907D1">
      <w:pPr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Č.j.:</w:t>
      </w:r>
      <w:r w:rsidR="006C5EEF">
        <w:t>OUH/OD/201/2012</w:t>
      </w:r>
    </w:p>
    <w:p w:rsidR="003907D1" w:rsidRDefault="003907D1">
      <w:pPr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 w:rsidP="00DF26CF">
      <w:pPr>
        <w:spacing w:before="120" w:line="360" w:lineRule="exact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> </w:t>
      </w:r>
      <w:r w:rsidR="00DF26CF">
        <w:tab/>
      </w:r>
      <w:r w:rsidR="00DF26CF">
        <w:tab/>
      </w:r>
      <w:r w:rsidR="00DF26CF">
        <w:tab/>
      </w:r>
      <w:r w:rsidR="00DF26CF">
        <w:tab/>
      </w:r>
      <w:r w:rsidR="00DF26CF">
        <w:tab/>
      </w:r>
      <w:r w:rsidR="00DF26CF">
        <w:tab/>
      </w:r>
      <w:r w:rsidR="00DF26CF">
        <w:tab/>
      </w:r>
      <w:r w:rsidR="00DF26CF">
        <w:tab/>
        <w:t xml:space="preserve">       </w:t>
      </w:r>
      <w:r>
        <w:t>Výtisk jediný</w:t>
      </w:r>
    </w:p>
    <w:p w:rsidR="003907D1" w:rsidRDefault="003907D1">
      <w:pPr>
        <w:tabs>
          <w:tab w:val="left" w:pos="6840"/>
        </w:tabs>
        <w:spacing w:line="360" w:lineRule="exact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ab/>
        <w:t xml:space="preserve">Počet listů: </w:t>
      </w:r>
      <w:r w:rsidR="0065424C">
        <w:t>5</w:t>
      </w:r>
      <w:r>
        <w:tab/>
      </w:r>
    </w:p>
    <w:p w:rsidR="003907D1" w:rsidRDefault="003907D1">
      <w:pPr>
        <w:tabs>
          <w:tab w:val="left" w:pos="6840"/>
        </w:tabs>
        <w:spacing w:line="360" w:lineRule="exact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ab/>
        <w:t>Přílohy: 12/39</w:t>
      </w:r>
    </w:p>
    <w:p w:rsidR="003907D1" w:rsidRDefault="003907D1">
      <w:pPr>
        <w:tabs>
          <w:tab w:val="left" w:pos="6840"/>
        </w:tabs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spacing w:before="120" w:line="360" w:lineRule="exact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eastAsia="Calibri"/>
          <w:b/>
          <w:sz w:val="48"/>
          <w:szCs w:val="48"/>
          <w:lang w:eastAsia="en-US"/>
        </w:rPr>
      </w:pPr>
      <w:r>
        <w:rPr>
          <w:b/>
          <w:sz w:val="48"/>
          <w:szCs w:val="48"/>
        </w:rPr>
        <w:t>P o ž á r n í   ř á d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eastAsia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obce Hvozdnice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> </w:t>
      </w:r>
    </w:p>
    <w:p w:rsidR="003907D1" w:rsidRDefault="003907D1">
      <w:pPr>
        <w:tabs>
          <w:tab w:val="center" w:pos="4762"/>
          <w:tab w:val="left" w:pos="6375"/>
        </w:tabs>
        <w:spacing w:before="120" w:line="360" w:lineRule="exact"/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b/>
          <w:sz w:val="28"/>
        </w:rPr>
        <w:t>2012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eastAsia="Calibri" w:hAnsi="Tahoma-Bold" w:cs="Tahoma-Bold"/>
          <w:b/>
          <w:bCs/>
          <w:color w:val="000000"/>
          <w:sz w:val="27"/>
          <w:szCs w:val="27"/>
          <w:lang w:eastAsia="en-US"/>
        </w:rPr>
      </w:pPr>
      <w:r>
        <w:rPr>
          <w:rFonts w:ascii="Tahoma-Bold" w:hAnsi="Tahoma-Bold" w:cs="Tahoma-Bold"/>
          <w:b/>
          <w:bCs/>
          <w:color w:val="000000"/>
          <w:sz w:val="27"/>
          <w:szCs w:val="27"/>
        </w:rPr>
        <w:t> 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eastAsia="Calibri" w:hAnsi="Tahoma-Bold" w:cs="Tahoma-Bold"/>
          <w:b/>
          <w:bCs/>
          <w:color w:val="000000"/>
          <w:sz w:val="27"/>
          <w:szCs w:val="27"/>
          <w:lang w:eastAsia="en-US"/>
        </w:rPr>
      </w:pPr>
      <w:r>
        <w:rPr>
          <w:rFonts w:ascii="Tahoma-Bold" w:hAnsi="Tahoma-Bold" w:cs="Tahoma-Bold"/>
          <w:b/>
          <w:bCs/>
          <w:color w:val="000000"/>
          <w:sz w:val="27"/>
          <w:szCs w:val="27"/>
        </w:rPr>
        <w:t> 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eastAsia="Calibri" w:hAnsi="Tahoma-Bold" w:cs="Tahoma-Bold"/>
          <w:b/>
          <w:bCs/>
          <w:color w:val="000000"/>
          <w:sz w:val="27"/>
          <w:szCs w:val="27"/>
          <w:lang w:eastAsia="en-US"/>
        </w:rPr>
      </w:pPr>
      <w:r>
        <w:rPr>
          <w:rFonts w:ascii="Tahoma-Bold" w:hAnsi="Tahoma-Bold" w:cs="Tahoma-Bold"/>
          <w:b/>
          <w:bCs/>
          <w:color w:val="000000"/>
          <w:sz w:val="27"/>
          <w:szCs w:val="27"/>
        </w:rPr>
        <w:t> 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  <w:r>
        <w:rPr>
          <w:rFonts w:ascii="Tahoma-Bold" w:hAnsi="Tahoma-Bold" w:cs="Tahoma-Bold"/>
          <w:b/>
          <w:bCs/>
          <w:color w:val="000000"/>
          <w:sz w:val="27"/>
          <w:szCs w:val="27"/>
        </w:rPr>
        <w:t> </w:t>
      </w: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hAnsi="Tahoma-Bold" w:cs="Tahoma-Bold"/>
          <w:b/>
          <w:bCs/>
          <w:color w:val="000000"/>
          <w:sz w:val="27"/>
          <w:szCs w:val="27"/>
        </w:rPr>
      </w:pPr>
    </w:p>
    <w:p w:rsidR="00855D7E" w:rsidRDefault="00855D7E">
      <w:pPr>
        <w:autoSpaceDE w:val="0"/>
        <w:autoSpaceDN w:val="0"/>
        <w:adjustRightInd w:val="0"/>
        <w:spacing w:before="120"/>
        <w:ind w:firstLine="709"/>
        <w:jc w:val="both"/>
        <w:rPr>
          <w:rFonts w:ascii="Tahoma-Bold" w:eastAsia="Calibri" w:hAnsi="Tahoma-Bold" w:cs="Tahoma-Bold"/>
          <w:b/>
          <w:bCs/>
          <w:color w:val="000000"/>
          <w:sz w:val="27"/>
          <w:szCs w:val="27"/>
          <w:lang w:eastAsia="en-US"/>
        </w:rPr>
      </w:pPr>
    </w:p>
    <w:p w:rsidR="003907D1" w:rsidRDefault="003907D1">
      <w:pPr>
        <w:pStyle w:val="Nadpis3"/>
        <w:rPr>
          <w:rFonts w:eastAsia="Calibri"/>
          <w:lang w:eastAsia="en-US"/>
        </w:rPr>
      </w:pPr>
      <w:r>
        <w:lastRenderedPageBreak/>
        <w:t>Požární řád obce</w:t>
      </w:r>
    </w:p>
    <w:p w:rsidR="003907D1" w:rsidRDefault="003907D1">
      <w:pPr>
        <w:autoSpaceDE w:val="0"/>
        <w:autoSpaceDN w:val="0"/>
        <w:adjustRightInd w:val="0"/>
        <w:spacing w:before="120" w:line="360" w:lineRule="exact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1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Úvodní ustanovení</w:t>
      </w:r>
    </w:p>
    <w:p w:rsidR="003907D1" w:rsidRDefault="003907D1">
      <w:pPr>
        <w:pStyle w:val="Zkladntextodsazen"/>
        <w:rPr>
          <w:rFonts w:eastAsia="Calibri"/>
          <w:lang w:eastAsia="en-US"/>
        </w:rPr>
      </w:pPr>
      <w:r>
        <w:t>Požární řád obce Hvozdnice upravuje organizaci a zásady zabezpečení požární ochrany v obci dle § 15 odst. 1 nařízení vlády č. 172/2001 Sb., k provedení zákona o požární ochraně, ve znění nařízení vlády č. 498/2002 Sb.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2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Vymezení činnosti osob, pověřených zabezpečováním požární ochrany v obci Hvozdnice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 xml:space="preserve">Za zabezpečení požární ochrany (dále jen PO) v rozsahu působnosti obce odpovídá obec Hvozdnice, která plní v samostatné působnosti povinnosti, vyplývající z předpisů o PO. Ochrana životů, zdraví a majetku občanů před požáry, živelními pohromami a jinými mimořádnými událostmi v katastru obce je zajištěna jednotkou sboru dobrovolných hasičů (dále jen “JSDH”) obce Hvozdnice a dalšími jednotkami požární ochrany dle poplachového plánu Středočeského kraje. 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>K zabezpečení úkolů požární ochrany projednává zastupitelstvo stav PO v obci nejméně 1 x za rok a vždy po závažných mimořádných událostech majících vztah k PO obce Hvozdnice. O projednávaném stavu PO v obci je zpracován „Zápis o stavu požární ochrany v obci Hvozdnice“.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>Kontrolami stavu PO obce Hvozdnice je pověřen starosta SDH obce Hvozdnice a velitel JSDH Hvozdnice. Kontroly jsou prováděny ve stanoveném rozsahu se zaměřením na dodržování povinností stanovených předpisy o požární ochraně. Výsledky kontrol stavu PO s návrhy na odstranění závad a návrhy na přijatá opatření se stávají přílohou “Zápisu o stavu požární ochrany v obci Hvozdnice“.</w:t>
      </w:r>
    </w:p>
    <w:p w:rsidR="003907D1" w:rsidRPr="00F20CE5" w:rsidRDefault="003907D1">
      <w:pPr>
        <w:autoSpaceDE w:val="0"/>
        <w:autoSpaceDN w:val="0"/>
        <w:adjustRightInd w:val="0"/>
        <w:spacing w:before="120" w:line="340" w:lineRule="exact"/>
        <w:ind w:firstLine="709"/>
        <w:jc w:val="center"/>
        <w:rPr>
          <w:rFonts w:eastAsia="Calibri"/>
          <w:b/>
          <w:lang w:eastAsia="en-US"/>
        </w:rPr>
      </w:pPr>
      <w:r w:rsidRPr="00F20CE5">
        <w:rPr>
          <w:b/>
        </w:rPr>
        <w:t>Čl. 3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Podmínky požární bezpečnosti v období letního sucha</w:t>
      </w:r>
    </w:p>
    <w:p w:rsidR="003907D1" w:rsidRDefault="003907D1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rFonts w:eastAsia="Calibri"/>
          <w:i/>
          <w:iCs/>
          <w:lang w:eastAsia="en-US"/>
        </w:rPr>
      </w:pPr>
      <w:r>
        <w:t>Za dobu se zvýšeným nebezpečím vzniku požáru je v obci Hvozdnice považováno období letního sucha v měsících července až září. Požární bezpečnost v tomto období je zabezpečena vyhlášením zákazu rozdělávání ohňů a zákazu kouření v lese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 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4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Způsob nepřetržitého zabezpečení požární ochrany</w:t>
      </w:r>
    </w:p>
    <w:p w:rsidR="003907D1" w:rsidRDefault="003907D1">
      <w:pPr>
        <w:pStyle w:val="Zkladntextodsazen"/>
        <w:rPr>
          <w:rFonts w:eastAsia="Calibri"/>
          <w:lang w:eastAsia="en-US"/>
        </w:rPr>
      </w:pPr>
      <w:r>
        <w:t>Oznámení o požáru, živelní pohromě či jiné mimořádné události v katastru obce Hvozdnice je zabezpečeno především využitím mobilních telefonů. Občané podávají informace o požáru na t</w:t>
      </w:r>
      <w:r w:rsidR="006C5EEF">
        <w:t>a</w:t>
      </w:r>
      <w:r>
        <w:t>to telefonní čísla:</w:t>
      </w:r>
    </w:p>
    <w:p w:rsidR="003907D1" w:rsidRDefault="003907D1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</w:pPr>
      <w:r>
        <w:t xml:space="preserve">Starosta obce             </w:t>
      </w:r>
      <w:r>
        <w:rPr>
          <w:bCs/>
        </w:rPr>
        <w:t>724 180 398, 602 649 594,</w:t>
      </w:r>
      <w:r>
        <w:rPr>
          <w:sz w:val="28"/>
        </w:rPr>
        <w:t xml:space="preserve"> </w:t>
      </w:r>
    </w:p>
    <w:p w:rsidR="003907D1" w:rsidRDefault="003907D1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</w:pPr>
      <w:r>
        <w:t xml:space="preserve">SDH -                        606 889 141, 602 946 997, 775 851 239 </w:t>
      </w:r>
    </w:p>
    <w:p w:rsidR="003907D1" w:rsidRDefault="003907D1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</w:pPr>
      <w:r>
        <w:t>IZS -</w:t>
      </w:r>
      <w:r>
        <w:tab/>
      </w:r>
      <w:r>
        <w:tab/>
      </w:r>
      <w:r>
        <w:tab/>
        <w:t>112</w:t>
      </w:r>
    </w:p>
    <w:p w:rsidR="003907D1" w:rsidRDefault="003907D1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</w:pPr>
      <w:r>
        <w:t>Policie ČR</w:t>
      </w:r>
      <w:r>
        <w:tab/>
      </w:r>
      <w:r>
        <w:tab/>
        <w:t>158, 257 740 141</w:t>
      </w:r>
    </w:p>
    <w:p w:rsidR="003907D1" w:rsidRDefault="003907D1">
      <w:pPr>
        <w:pStyle w:val="Zkladntextodsazen"/>
        <w:rPr>
          <w:rFonts w:eastAsia="Calibri"/>
          <w:lang w:eastAsia="en-US"/>
        </w:rPr>
      </w:pPr>
      <w:r>
        <w:lastRenderedPageBreak/>
        <w:t>Ochrana životů, zdraví a majetku občanů před požáry, živelními pohromami a jinými mimořádnými událostmi v katastru obce je zabezpečena jednotkou SDH obce a dalšími jednotkami požární ochrany IZS.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5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Jednotky sboru dobrovolných hasičů obce, kategorie, početní stav a vybavení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 xml:space="preserve"> Obec Hvozdnice zřizuje jednotku sboru dobrovolných hasičů obce (JSDH) uvedenou v příloze č. 3. Kategorie, početní stav, vybavení požární technikou a věcnými prostředky požární ochrany JSDH obce jsou uvedeny v příloze č. 4. Přílohy č. 3 a 4 jsou nedílnou součástí požárního řádu obce.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>Členové JSDH se při vyhlášení požárního poplachu co nejrychleji dostaví do požární zbrojnice obce Hvozdnice nebo na místo stanovené velitelem jednotky.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6</w:t>
      </w:r>
    </w:p>
    <w:p w:rsidR="003907D1" w:rsidRDefault="003907D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Přehled o zdrojích vody pro hašení požárů a podmínky jejich trvalé</w:t>
      </w:r>
    </w:p>
    <w:p w:rsidR="003907D1" w:rsidRDefault="003907D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použitelnosti. Stanovení dalších zdrojů vody pro hašení požárů a podmínky pro</w:t>
      </w:r>
    </w:p>
    <w:p w:rsidR="003907D1" w:rsidRDefault="003907D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zajištění jejich trvalé použitelnosti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lang w:eastAsia="en-US"/>
        </w:rPr>
      </w:pPr>
      <w:r>
        <w:t>Obec stanovuje následující zdroje vody pro hašení požárů a další zdroje požární vody, které musí svou kapacitou, umístěním a vybavením umožnit účinný požární zásah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i/>
          <w:iCs/>
          <w:lang w:eastAsia="en-US"/>
        </w:rPr>
      </w:pPr>
      <w:r>
        <w:t xml:space="preserve">a) přirozené </w:t>
      </w:r>
      <w:r>
        <w:rPr>
          <w:i/>
          <w:iCs/>
        </w:rPr>
        <w:t>(řeky, potoky, jezera, rybníky apod.)</w:t>
      </w:r>
    </w:p>
    <w:p w:rsidR="003907D1" w:rsidRDefault="003907D1">
      <w:pPr>
        <w:autoSpaceDE w:val="0"/>
        <w:autoSpaceDN w:val="0"/>
        <w:adjustRightInd w:val="0"/>
        <w:spacing w:before="120"/>
        <w:ind w:left="708" w:firstLine="709"/>
        <w:jc w:val="both"/>
        <w:rPr>
          <w:rFonts w:eastAsia="Calibri"/>
          <w:lang w:eastAsia="en-US"/>
        </w:rPr>
      </w:pPr>
      <w:r>
        <w:t>1. rybník v dolní části obce (čerpací stanoviště č. 1, kapacita zdroje cca 3 200 m</w:t>
      </w:r>
      <w:r>
        <w:rPr>
          <w:vertAlign w:val="superscript"/>
        </w:rPr>
        <w:t>3</w:t>
      </w:r>
      <w:r>
        <w:t>)</w:t>
      </w:r>
    </w:p>
    <w:p w:rsidR="003907D1" w:rsidRDefault="003907D1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708"/>
        <w:rPr>
          <w:rFonts w:eastAsia="Calibri"/>
          <w:lang w:eastAsia="en-US"/>
        </w:rPr>
      </w:pPr>
      <w:r>
        <w:t>2. rybník na Dlouhých lukách (čerpací stanoviště č. 2, kapacita zdroje cca 2 800 m</w:t>
      </w:r>
      <w:r>
        <w:rPr>
          <w:vertAlign w:val="superscript"/>
        </w:rPr>
        <w:t>3</w:t>
      </w:r>
      <w:r>
        <w:t>)</w:t>
      </w:r>
    </w:p>
    <w:p w:rsidR="003907D1" w:rsidRDefault="003907D1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708"/>
        <w:rPr>
          <w:rFonts w:eastAsia="Calibri"/>
          <w:lang w:eastAsia="en-US"/>
        </w:rPr>
      </w:pPr>
      <w:r>
        <w:t>3. rybníček u obchodu (čerpací stanoviště č. 3, kapacita zdroje cca 500 m</w:t>
      </w:r>
      <w:r>
        <w:rPr>
          <w:vertAlign w:val="superscript"/>
        </w:rPr>
        <w:t>3</w:t>
      </w:r>
      <w:r>
        <w:t>)</w:t>
      </w:r>
    </w:p>
    <w:p w:rsidR="003907D1" w:rsidRDefault="003907D1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rPr>
          <w:rFonts w:eastAsia="Calibri"/>
          <w:lang w:eastAsia="en-US"/>
        </w:rPr>
      </w:pPr>
      <w:r>
        <w:t xml:space="preserve">b) umělé </w:t>
      </w:r>
    </w:p>
    <w:p w:rsidR="003907D1" w:rsidRDefault="00F20CE5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i/>
          <w:iCs/>
          <w:lang w:eastAsia="en-US"/>
        </w:rPr>
      </w:pPr>
      <w:r>
        <w:tab/>
      </w:r>
      <w:r w:rsidR="003907D1">
        <w:t xml:space="preserve">1. hydrantová síť (počet a umístění hydrantů v příloze č. 12) </w:t>
      </w:r>
    </w:p>
    <w:p w:rsidR="003907D1" w:rsidRDefault="003907D1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rFonts w:eastAsia="Calibri"/>
          <w:lang w:eastAsia="en-US"/>
        </w:rPr>
      </w:pPr>
      <w:r>
        <w:t xml:space="preserve">Obec Hvozdnice v případě potřeby zpracovává a udržuje v aktuálním stavu plánek obce </w:t>
      </w:r>
      <w:r w:rsidR="00A8334E">
        <w:t>s </w:t>
      </w:r>
      <w:r>
        <w:t>vyznačením zdrojů vody pro hašení požárů, čerpacích stanovišť pro požární techniku a vhodného směru příjezdu/příjezdové komunikace, který v jednom vyhotovení předává JSDH Hvozdnice</w:t>
      </w:r>
    </w:p>
    <w:p w:rsidR="003907D1" w:rsidRDefault="003907D1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rFonts w:eastAsia="Calibri"/>
          <w:lang w:eastAsia="en-US"/>
        </w:rPr>
      </w:pPr>
      <w:r>
        <w:t>Vlastník nebo uživatel zdrojů vody pro hašení je povinen, v souladu s předpisy o požární ochraně, umožnit použití požární techniky a čerpání vody pro hašení požárů, zejména udržovat trvalou použitelnost čerpacích stanovišť pro požární techniku, trvalou použitelnost zdroje.</w:t>
      </w:r>
    </w:p>
    <w:p w:rsidR="003907D1" w:rsidRDefault="003907D1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rFonts w:eastAsia="Calibri"/>
          <w:lang w:eastAsia="en-US"/>
        </w:rPr>
      </w:pPr>
      <w: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7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 xml:space="preserve">Seznam ohlašoven požárů a dalších míst, odkud lze hlásit požár. </w:t>
      </w:r>
    </w:p>
    <w:p w:rsidR="003907D1" w:rsidRDefault="003907D1">
      <w:pPr>
        <w:pStyle w:val="Zkladntextodsazen"/>
        <w:rPr>
          <w:rFonts w:eastAsia="Calibri"/>
          <w:lang w:eastAsia="en-US"/>
        </w:rPr>
      </w:pPr>
      <w:r>
        <w:t xml:space="preserve">Obec Hvozdnice nezřizuje ohlašovnu požárů. Požáry jsou ohlašovány cestou mobilních telefonů na telefonní čísla uvedena v čl. 4. Ohlásit požár lze na Obecním úřadu v době úředních hodin. 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8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Způsob vyhlášení požárního poplachu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>Vyhlášení požárního poplachu v obci/městě se provádí signálem “POŽÁRNÍ POPLACH”, který je vyhlašován přerušovaným tónem sirény po dobu jedné minuty (25 sec. tón – 10 sec. pauza – 25 sec. tón) nebo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i/>
          <w:iCs/>
          <w:lang w:eastAsia="en-US"/>
        </w:rPr>
      </w:pPr>
      <w:r>
        <w:t>V případě poruchy technických zařízení pro vyhlášení požárního poplachu se požární poplach v obci Hvozdnice vyhlašuje obecním rozhlasem s uvedením konkrétního místa požáru.</w:t>
      </w:r>
    </w:p>
    <w:p w:rsidR="00855D7E" w:rsidRDefault="00855D7E">
      <w:pPr>
        <w:pStyle w:val="Nadpis1"/>
        <w:spacing w:line="240" w:lineRule="auto"/>
      </w:pPr>
    </w:p>
    <w:p w:rsidR="003907D1" w:rsidRDefault="003907D1">
      <w:pPr>
        <w:pStyle w:val="Nadpis1"/>
        <w:spacing w:line="240" w:lineRule="auto"/>
        <w:rPr>
          <w:rFonts w:eastAsia="Calibri"/>
          <w:lang w:eastAsia="en-US"/>
        </w:rPr>
      </w:pPr>
      <w:r>
        <w:t>Čl. 9</w:t>
      </w:r>
    </w:p>
    <w:p w:rsidR="003907D1" w:rsidRDefault="003907D1">
      <w:pPr>
        <w:pStyle w:val="Nadpis2"/>
      </w:pPr>
      <w:r>
        <w:t>Seznam sil a prostředků jednotek požární ochrany</w:t>
      </w:r>
    </w:p>
    <w:p w:rsidR="003907D1" w:rsidRDefault="003907D1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eastAsia="Calibri"/>
          <w:lang w:eastAsia="en-US"/>
        </w:rPr>
      </w:pPr>
      <w:r>
        <w:t>Seznam sil a prostředků jednotek požární ochrany podle výpisu z požárního poplachového plánu obce Hvozdnice je uveden v příloze č. 1.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10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Závěrečná a zrušovací ustanovení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</w:pPr>
      <w:r>
        <w:t xml:space="preserve">Touto vyhláškou se ruší  „Požární řád obce Hvozdnice“ ze dne </w:t>
      </w:r>
      <w:r w:rsidR="006C5EEF">
        <w:t>1. 7. 1992.</w:t>
      </w:r>
    </w:p>
    <w:p w:rsidR="006C5EEF" w:rsidRDefault="006C5EEF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lang w:eastAsia="en-US"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Čl. 11</w:t>
      </w:r>
    </w:p>
    <w:p w:rsidR="003907D1" w:rsidRDefault="003907D1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>Účinnost</w:t>
      </w:r>
    </w:p>
    <w:p w:rsidR="003907D1" w:rsidRDefault="003907D1">
      <w:pPr>
        <w:pStyle w:val="Zkladntextodsazen"/>
        <w:spacing w:line="240" w:lineRule="auto"/>
        <w:rPr>
          <w:b/>
          <w:bCs/>
        </w:rPr>
      </w:pPr>
      <w:r>
        <w:t>T</w:t>
      </w:r>
      <w:r w:rsidR="00855D7E">
        <w:t>ato obecně závazná vyhláška nabývá účinnosti dne 1. července 2012.</w:t>
      </w: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</w:rPr>
      </w:pPr>
    </w:p>
    <w:p w:rsidR="00777464" w:rsidRPr="00DA08DE" w:rsidRDefault="00777464" w:rsidP="0077746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        Ing. Ladislav Neuman, v.r.     razítko obce      JUDr. Helena Kučerová, Ph.D.,v.r.</w:t>
      </w:r>
    </w:p>
    <w:p w:rsidR="00777464" w:rsidRPr="00DA08DE" w:rsidRDefault="00777464" w:rsidP="0077746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Palatino Linotype" w:hAnsi="Palatino Linotype" w:cs="Arial"/>
        </w:rPr>
      </w:pPr>
      <w:r w:rsidRPr="00DA08DE">
        <w:rPr>
          <w:rFonts w:ascii="Palatino Linotype" w:hAnsi="Palatino Linotype" w:cs="Arial"/>
        </w:rPr>
        <w:t xml:space="preserve">                   místostarosta                                            </w:t>
      </w:r>
      <w:r>
        <w:rPr>
          <w:rFonts w:ascii="Palatino Linotype" w:hAnsi="Palatino Linotype" w:cs="Arial"/>
        </w:rPr>
        <w:t xml:space="preserve"> </w:t>
      </w:r>
      <w:r w:rsidRPr="00DA08DE">
        <w:rPr>
          <w:rFonts w:ascii="Palatino Linotype" w:hAnsi="Palatino Linotype" w:cs="Arial"/>
        </w:rPr>
        <w:t xml:space="preserve">                            starostka</w:t>
      </w:r>
    </w:p>
    <w:p w:rsidR="00777464" w:rsidRDefault="00777464" w:rsidP="0077746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777464" w:rsidRDefault="00777464" w:rsidP="0077746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777464" w:rsidRDefault="00777464" w:rsidP="0077746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</w:rPr>
      </w:pPr>
    </w:p>
    <w:p w:rsidR="003907D1" w:rsidRDefault="003907D1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</w:rPr>
      </w:pPr>
    </w:p>
    <w:sectPr w:rsidR="00390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DC" w:rsidRDefault="001A7EDC">
      <w:r>
        <w:separator/>
      </w:r>
    </w:p>
  </w:endnote>
  <w:endnote w:type="continuationSeparator" w:id="0">
    <w:p w:rsidR="001A7EDC" w:rsidRDefault="001A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D1" w:rsidRDefault="003907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07D1" w:rsidRDefault="003907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D1" w:rsidRDefault="003907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62D5">
      <w:rPr>
        <w:rStyle w:val="slostrnky"/>
        <w:noProof/>
      </w:rPr>
      <w:t>2</w:t>
    </w:r>
    <w:r>
      <w:rPr>
        <w:rStyle w:val="slostrnky"/>
      </w:rPr>
      <w:fldChar w:fldCharType="end"/>
    </w:r>
  </w:p>
  <w:p w:rsidR="003907D1" w:rsidRDefault="003907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17" w:rsidRDefault="005178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DC" w:rsidRDefault="001A7EDC">
      <w:r>
        <w:separator/>
      </w:r>
    </w:p>
  </w:footnote>
  <w:footnote w:type="continuationSeparator" w:id="0">
    <w:p w:rsidR="001A7EDC" w:rsidRDefault="001A7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17" w:rsidRDefault="005178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17" w:rsidRDefault="0051781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17" w:rsidRDefault="005178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3286B"/>
    <w:multiLevelType w:val="hybridMultilevel"/>
    <w:tmpl w:val="676059D4"/>
    <w:lvl w:ilvl="0" w:tplc="67DCC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0A7B06"/>
    <w:multiLevelType w:val="hybridMultilevel"/>
    <w:tmpl w:val="EA961AC2"/>
    <w:lvl w:ilvl="0" w:tplc="7C6A6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5E46"/>
    <w:multiLevelType w:val="hybridMultilevel"/>
    <w:tmpl w:val="EC1A2D26"/>
    <w:lvl w:ilvl="0" w:tplc="7C6A6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0695E"/>
    <w:multiLevelType w:val="hybridMultilevel"/>
    <w:tmpl w:val="24983D1C"/>
    <w:lvl w:ilvl="0" w:tplc="7C6A6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19B7"/>
    <w:multiLevelType w:val="hybridMultilevel"/>
    <w:tmpl w:val="85CE9FE6"/>
    <w:lvl w:ilvl="0" w:tplc="7C6A6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61C1A"/>
    <w:multiLevelType w:val="hybridMultilevel"/>
    <w:tmpl w:val="9B7ED4A6"/>
    <w:lvl w:ilvl="0" w:tplc="7C6A6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4E"/>
    <w:rsid w:val="001A7EDC"/>
    <w:rsid w:val="003907D1"/>
    <w:rsid w:val="005162D5"/>
    <w:rsid w:val="00517817"/>
    <w:rsid w:val="0065424C"/>
    <w:rsid w:val="006C5EEF"/>
    <w:rsid w:val="00777464"/>
    <w:rsid w:val="00855D7E"/>
    <w:rsid w:val="00A8334E"/>
    <w:rsid w:val="00BD191C"/>
    <w:rsid w:val="00DF26CF"/>
    <w:rsid w:val="00F20CE5"/>
    <w:rsid w:val="00F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03D21C-0017-43D7-A7DA-0FDFC55A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 w:line="360" w:lineRule="exact"/>
      <w:ind w:firstLine="709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before="120"/>
      <w:ind w:firstLine="709"/>
      <w:jc w:val="both"/>
    </w:pPr>
  </w:style>
  <w:style w:type="paragraph" w:styleId="Zkladntextodsazen">
    <w:name w:val="Body Text Indent"/>
    <w:basedOn w:val="Normln"/>
    <w:semiHidden/>
    <w:pPr>
      <w:autoSpaceDE w:val="0"/>
      <w:autoSpaceDN w:val="0"/>
      <w:adjustRightInd w:val="0"/>
      <w:spacing w:before="120" w:line="340" w:lineRule="exact"/>
      <w:ind w:firstLine="709"/>
      <w:jc w:val="both"/>
    </w:pPr>
  </w:style>
  <w:style w:type="paragraph" w:styleId="Zkladntextodsazen2">
    <w:name w:val="Body Text Indent 2"/>
    <w:basedOn w:val="Normln"/>
    <w:semiHidden/>
    <w:pPr>
      <w:autoSpaceDE w:val="0"/>
      <w:autoSpaceDN w:val="0"/>
      <w:adjustRightInd w:val="0"/>
      <w:spacing w:before="120" w:line="340" w:lineRule="exact"/>
      <w:ind w:firstLine="709"/>
      <w:jc w:val="both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26CF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F26C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5178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Požární řád obce Hvozdnice</vt:lpstr>
    </vt:vector>
  </TitlesOfParts>
  <Company>Obecní úřad Hvozdnice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řád obce Hvozdnice</dc:title>
  <dc:subject>Požární ochrana</dc:subject>
  <dc:creator>Ing.Ladislav Neuman</dc:creator>
  <cp:keywords/>
  <dc:description/>
  <cp:lastModifiedBy>Helena</cp:lastModifiedBy>
  <cp:revision>2</cp:revision>
  <dcterms:created xsi:type="dcterms:W3CDTF">2024-11-27T23:14:00Z</dcterms:created>
  <dcterms:modified xsi:type="dcterms:W3CDTF">2024-11-27T23:14:00Z</dcterms:modified>
</cp:coreProperties>
</file>