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Arial" w:hAnsi="Arial" w:cs="Arial"/>
          <w:b/>
          <w:b/>
        </w:rPr>
      </w:pPr>
      <w:r>
        <w:rPr>
          <w:rFonts w:cs="Arial" w:ascii="Arial" w:hAnsi="Arial"/>
          <w:b/>
        </w:rPr>
        <w:t>OBEC  Dlouhý  Újezd</w:t>
      </w:r>
    </w:p>
    <w:p>
      <w:pPr>
        <w:pStyle w:val="Normal"/>
        <w:spacing w:lineRule="auto" w:line="276"/>
        <w:jc w:val="center"/>
        <w:rPr>
          <w:rFonts w:ascii="Arial" w:hAnsi="Arial" w:cs="Arial"/>
          <w:b/>
          <w:b/>
        </w:rPr>
      </w:pPr>
      <w:r>
        <w:rPr>
          <w:rFonts w:cs="Arial" w:ascii="Arial" w:hAnsi="Arial"/>
          <w:b/>
        </w:rPr>
        <w:t>Zastupitelstvo obce  Dlouhý Újezd</w:t>
      </w:r>
    </w:p>
    <w:p>
      <w:pPr>
        <w:pStyle w:val="Normal"/>
        <w:spacing w:lineRule="auto" w:line="276"/>
        <w:jc w:val="center"/>
        <w:rPr>
          <w:rFonts w:ascii="Arial" w:hAnsi="Arial" w:cs="Arial"/>
          <w:b/>
          <w:b/>
        </w:rPr>
      </w:pPr>
      <w:r>
        <w:rPr>
          <w:rFonts w:cs="Arial" w:ascii="Arial" w:hAnsi="Arial"/>
          <w:b/>
        </w:rPr>
        <w:t>Obecně závazná vyhláška obce Dlouhý Újezd č. 1/202</w:t>
      </w:r>
      <w:r>
        <w:rPr>
          <w:rFonts w:cs="Arial" w:ascii="Arial" w:hAnsi="Arial"/>
          <w:b/>
        </w:rPr>
        <w:t>2</w:t>
      </w:r>
      <w:r>
        <w:rPr>
          <w:rFonts w:cs="Arial" w:ascii="Arial" w:hAnsi="Arial"/>
          <w:b/>
        </w:rPr>
        <w:t>,</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bCs w:val="false"/>
          <w:sz w:val="22"/>
          <w:szCs w:val="22"/>
        </w:rPr>
      </w:pPr>
      <w:r>
        <w:rPr>
          <w:rFonts w:cs="Arial" w:ascii="Arial" w:hAnsi="Arial"/>
          <w:b w:val="false"/>
          <w:sz w:val="22"/>
          <w:szCs w:val="22"/>
        </w:rPr>
        <w:t xml:space="preserve">Zastupitelstvo obce Dlouhý Újezd se na svém zasedání dne </w:t>
      </w:r>
      <w:r>
        <w:rPr>
          <w:rFonts w:cs="Arial" w:ascii="Arial" w:hAnsi="Arial"/>
          <w:b w:val="false"/>
          <w:sz w:val="22"/>
          <w:szCs w:val="22"/>
        </w:rPr>
        <w:t>30</w:t>
      </w:r>
      <w:r>
        <w:rPr>
          <w:rFonts w:cs="Arial" w:ascii="Arial" w:hAnsi="Arial"/>
          <w:b w:val="false"/>
          <w:sz w:val="22"/>
          <w:szCs w:val="22"/>
        </w:rPr>
        <w:t>.1</w:t>
      </w:r>
      <w:r>
        <w:rPr>
          <w:rFonts w:cs="Arial" w:ascii="Arial" w:hAnsi="Arial"/>
          <w:b w:val="false"/>
          <w:sz w:val="22"/>
          <w:szCs w:val="22"/>
        </w:rPr>
        <w:t>1</w:t>
      </w:r>
      <w:r>
        <w:rPr>
          <w:rFonts w:cs="Arial" w:ascii="Arial" w:hAnsi="Arial"/>
          <w:b w:val="false"/>
          <w:sz w:val="22"/>
          <w:szCs w:val="22"/>
        </w:rPr>
        <w:t>.202</w:t>
      </w:r>
      <w:r>
        <w:rPr>
          <w:rFonts w:cs="Arial" w:ascii="Arial" w:hAnsi="Arial"/>
          <w:b w:val="false"/>
          <w:sz w:val="22"/>
          <w:szCs w:val="22"/>
        </w:rPr>
        <w:t>2</w:t>
      </w:r>
      <w:r>
        <w:rPr>
          <w:rFonts w:cs="Arial" w:ascii="Arial" w:hAnsi="Arial"/>
          <w:b w:val="false"/>
          <w:sz w:val="22"/>
          <w:szCs w:val="22"/>
        </w:rPr>
        <w:t xml:space="preserve"> usnesením </w:t>
        <w:br/>
        <w:t>č. 2</w:t>
      </w:r>
      <w:r>
        <w:rPr>
          <w:rFonts w:cs="Arial" w:ascii="Arial" w:hAnsi="Arial"/>
          <w:b w:val="false"/>
          <w:sz w:val="22"/>
          <w:szCs w:val="22"/>
        </w:rPr>
        <w:t>2</w:t>
      </w:r>
      <w:r>
        <w:rPr>
          <w:rFonts w:cs="Arial" w:ascii="Arial" w:hAnsi="Arial"/>
          <w:b w:val="false"/>
          <w:sz w:val="22"/>
          <w:szCs w:val="22"/>
        </w:rPr>
        <w:t>/2/</w:t>
      </w:r>
      <w:r>
        <w:rPr>
          <w:rFonts w:cs="Arial" w:ascii="Arial" w:hAnsi="Arial"/>
          <w:b w:val="false"/>
          <w:sz w:val="22"/>
          <w:szCs w:val="22"/>
        </w:rPr>
        <w:t>8</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Dlouhý Újezd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 poplatku</w:t>
      </w:r>
    </w:p>
    <w:p>
      <w:pPr>
        <w:pStyle w:val="Normal"/>
        <w:numPr>
          <w:ilvl w:val="0"/>
          <w:numId w:val="5"/>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r>
        <w:rPr>
          <w:rFonts w:cs="Arial" w:ascii="Arial" w:hAnsi="Arial"/>
          <w:color w:val="000000"/>
          <w:sz w:val="22"/>
          <w:szCs w:val="22"/>
        </w:rPr>
        <w:t xml:space="preserve">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5"/>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22" w:firstLine="126"/>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je povinen podat správci poplatku ohlášení nejpozději do 15 dnů ode dne, kdy nabyl postavení plátce poplatku. Pozbytí postavení plátce ohlásí plátce poplatku správci poplatku ve lhůtě 15 dnů.</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bookmarkStart w:id="0" w:name="_GoBack"/>
      <w:bookmarkEnd w:id="0"/>
      <w:r>
        <w:rPr>
          <w:rFonts w:cs="Arial" w:ascii="Arial" w:hAnsi="Arial"/>
          <w:sz w:val="22"/>
          <w:szCs w:val="22"/>
        </w:rPr>
        <w: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30 dnů  ode dne, kdy nastala.</w:t>
      </w:r>
      <w:r>
        <w:rPr>
          <w:rStyle w:val="Ukotvenpoznmkypodarou"/>
          <w:rFonts w:cs="Arial" w:ascii="Arial" w:hAnsi="Arial"/>
          <w:sz w:val="22"/>
          <w:szCs w:val="22"/>
        </w:rPr>
        <w:footnoteReference w:id="11"/>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3"/>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kapacita soustřeďovacích prostředků pro nemovitou věc na odpad za kalendářní měsíc v litrech připadající na poplatníka. </w:t>
      </w:r>
    </w:p>
    <w:p>
      <w:pPr>
        <w:pStyle w:val="Default"/>
        <w:numPr>
          <w:ilvl w:val="0"/>
          <w:numId w:val="3"/>
        </w:numPr>
        <w:jc w:val="both"/>
        <w:rPr>
          <w:sz w:val="22"/>
          <w:szCs w:val="22"/>
        </w:rPr>
      </w:pPr>
      <w:r>
        <w:rPr>
          <w:sz w:val="22"/>
          <w:szCs w:val="22"/>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kapacita soustřeďovacích prostředků pro tuto nemovitou věc na kalendářní měsíc </w:t>
        <w:br/>
        <w:t xml:space="preserve">v případě, že v nemovité věci nemá bydliště žádná fyzická osoba.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rFonts w:ascii="Arial" w:hAnsi="Arial" w:cs="Arial"/>
          <w:sz w:val="22"/>
          <w:szCs w:val="22"/>
        </w:rPr>
      </w:pPr>
      <w:r>
        <w:rPr>
          <w:rFonts w:cs="Arial" w:ascii="Arial" w:hAnsi="Arial"/>
          <w:i/>
          <w:color w:val="0070C0"/>
          <w:sz w:val="22"/>
          <w:szCs w:val="22"/>
        </w:rPr>
        <w:t xml:space="preserve"> </w:t>
      </w:r>
      <w:r>
        <w:rPr>
          <w:rFonts w:cs="Arial" w:ascii="Arial" w:hAnsi="Arial"/>
          <w:sz w:val="22"/>
          <w:szCs w:val="22"/>
        </w:rPr>
        <w:t>Sazba poplatku činí 0,4</w:t>
      </w:r>
      <w:r>
        <w:rPr>
          <w:rFonts w:cs="Arial" w:ascii="Arial" w:hAnsi="Arial"/>
          <w:sz w:val="22"/>
          <w:szCs w:val="22"/>
        </w:rPr>
        <w:t>6</w:t>
      </w:r>
      <w:r>
        <w:rPr>
          <w:rFonts w:cs="Arial" w:ascii="Arial" w:hAnsi="Arial"/>
          <w:sz w:val="22"/>
          <w:szCs w:val="22"/>
        </w:rPr>
        <w:t xml:space="preserve"> Kč za l.</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Normal"/>
        <w:spacing w:lineRule="auto" w:line="264" w:before="120" w:after="6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 xml:space="preserve">Plátce poplatku odvede vybraný poplatek správci poplatku nejpozději do 31.1.  následujícího kalendářního roku. </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Normal"/>
        <w:spacing w:lineRule="auto" w:line="312"/>
        <w:ind w:left="567"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Navýšení poplatku</w:t>
      </w:r>
      <w:r>
        <w:rPr/>
        <w:t xml:space="preserve"> </w:t>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2"/>
          <w:szCs w:val="22"/>
        </w:rPr>
        <w:footnoteReference w:id="16"/>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Nebudou-li poplatky odvedeny plátcem poplatku včas nebo ve správné výši, vyměří mu správce poplatku poplatek platebním výměrem k přímé úhradě.</w:t>
      </w:r>
      <w:r>
        <w:rPr>
          <w:rStyle w:val="Ukotvenpoznmkypodarou"/>
          <w:rFonts w:cs="Arial" w:ascii="Arial" w:hAnsi="Arial"/>
          <w:sz w:val="22"/>
          <w:szCs w:val="22"/>
        </w:rPr>
        <w:footnoteReference w:id="17"/>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8"/>
      </w:r>
    </w:p>
    <w:p>
      <w:pPr>
        <w:pStyle w:val="Slalnk"/>
        <w:spacing w:before="480" w:after="60"/>
        <w:ind w:left="3540" w:firstLine="708"/>
        <w:jc w:val="left"/>
        <w:rPr>
          <w:rFonts w:ascii="Arial" w:hAnsi="Arial" w:cs="Arial"/>
        </w:rPr>
      </w:pPr>
      <w:r>
        <w:rPr>
          <w:rFonts w:cs="Arial" w:ascii="Arial" w:hAnsi="Arial"/>
        </w:rPr>
        <w:t>Čl. 10</w:t>
      </w:r>
    </w:p>
    <w:p>
      <w:pPr>
        <w:pStyle w:val="Nzvylnk"/>
        <w:ind w:left="3399" w:firstLine="141"/>
        <w:jc w:val="left"/>
        <w:rPr>
          <w:rFonts w:ascii="Arial" w:hAnsi="Arial" w:cs="Arial"/>
        </w:rPr>
      </w:pPr>
      <w:r>
        <w:rPr>
          <w:rFonts w:cs="Arial" w:ascii="Arial" w:hAnsi="Arial"/>
        </w:rPr>
        <w:t>Společná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9"/>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20"/>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Zrušovací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Zrušuje se obecně závazná vyhláška č. 1</w:t>
      </w:r>
      <w:r>
        <w:rPr>
          <w:rFonts w:cs="Arial" w:ascii="Arial" w:hAnsi="Arial"/>
          <w:i/>
          <w:sz w:val="22"/>
          <w:szCs w:val="22"/>
        </w:rPr>
        <w:t>/202</w:t>
      </w:r>
      <w:r>
        <w:rPr>
          <w:rFonts w:cs="Arial" w:ascii="Arial" w:hAnsi="Arial"/>
          <w:i/>
          <w:sz w:val="22"/>
          <w:szCs w:val="22"/>
        </w:rPr>
        <w:t>1</w:t>
      </w:r>
      <w:r>
        <w:rPr>
          <w:rFonts w:cs="Arial" w:ascii="Arial" w:hAnsi="Arial"/>
          <w:i/>
          <w:sz w:val="22"/>
          <w:szCs w:val="22"/>
        </w:rPr>
        <w:t xml:space="preserve">, o poplatku za komunální odpad, </w:t>
      </w:r>
      <w:r>
        <w:rPr>
          <w:rFonts w:cs="Arial" w:ascii="Arial" w:hAnsi="Arial"/>
          <w:sz w:val="22"/>
          <w:szCs w:val="22"/>
        </w:rPr>
        <w:t>ze dne</w:t>
      </w:r>
      <w:r>
        <w:rPr>
          <w:rFonts w:cs="Arial" w:ascii="Arial" w:hAnsi="Arial"/>
          <w:i/>
          <w:sz w:val="22"/>
          <w:szCs w:val="22"/>
        </w:rPr>
        <w:t xml:space="preserve"> 1</w:t>
      </w:r>
      <w:r>
        <w:rPr>
          <w:rFonts w:cs="Arial" w:ascii="Arial" w:hAnsi="Arial"/>
          <w:i/>
          <w:sz w:val="22"/>
          <w:szCs w:val="22"/>
        </w:rPr>
        <w:t>5</w:t>
      </w:r>
      <w:r>
        <w:rPr>
          <w:rFonts w:cs="Arial" w:ascii="Arial" w:hAnsi="Arial"/>
          <w:i/>
          <w:sz w:val="22"/>
          <w:szCs w:val="22"/>
        </w:rPr>
        <w:t>.12.202</w:t>
      </w:r>
      <w:r>
        <w:rPr>
          <w:rFonts w:cs="Arial" w:ascii="Arial" w:hAnsi="Arial"/>
          <w:i/>
          <w:sz w:val="22"/>
          <w:szCs w:val="22"/>
        </w:rPr>
        <w:t>1</w:t>
      </w:r>
      <w:r>
        <w:rPr>
          <w:rFonts w:cs="Arial" w:ascii="Arial" w:hAnsi="Arial"/>
          <w:sz w:val="22"/>
          <w:szCs w:val="22"/>
        </w:rPr>
        <w:t>.</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13</w:t>
      </w:r>
    </w:p>
    <w:p>
      <w:pPr>
        <w:pStyle w:val="Nzvylnk"/>
        <w:rPr>
          <w:rFonts w:ascii="Arial" w:hAnsi="Arial" w:cs="Arial"/>
        </w:rPr>
      </w:pPr>
      <w:r>
        <w:rPr>
          <w:rFonts w:cs="Arial" w:ascii="Arial" w:hAnsi="Arial"/>
        </w:rPr>
        <w:t>Účinnost</w:t>
      </w:r>
    </w:p>
    <w:p>
      <w:pPr>
        <w:pStyle w:val="Normal"/>
        <w:spacing w:lineRule="auto" w:line="288" w:before="120" w:after="0"/>
        <w:ind w:firstLine="708"/>
        <w:jc w:val="both"/>
        <w:rPr>
          <w:rFonts w:ascii="Arial" w:hAnsi="Arial" w:cs="Arial"/>
          <w:sz w:val="22"/>
          <w:szCs w:val="22"/>
        </w:rPr>
      </w:pPr>
      <w:r>
        <w:rPr>
          <w:rFonts w:cs="Arial" w:ascii="Arial" w:hAnsi="Arial"/>
          <w:sz w:val="22"/>
          <w:szCs w:val="22"/>
        </w:rPr>
        <w:t>Tato vyhláška nabývá účinnosti dnem  1.1.202</w:t>
      </w:r>
      <w:r>
        <w:rPr>
          <w:rFonts w:cs="Arial" w:ascii="Arial" w:hAnsi="Arial"/>
          <w:sz w:val="22"/>
          <w:szCs w:val="22"/>
        </w:rPr>
        <w:t>3</w:t>
      </w:r>
      <w:r>
        <w:rPr>
          <w:rFonts w:cs="Arial" w:ascii="Arial" w:hAnsi="Arial"/>
          <w:sz w:val="22"/>
          <w:szCs w:val="22"/>
        </w:rPr>
        <w:t xml:space="preserve">. </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color w:val="0070C0"/>
        </w:rPr>
      </w:pPr>
      <w:r>
        <w:rPr>
          <w:rFonts w:cs="Arial" w:ascii="Arial" w:hAnsi="Arial"/>
          <w:color w:val="0070C0"/>
        </w:rPr>
      </w:r>
    </w:p>
    <w:p>
      <w:pPr>
        <w:pStyle w:val="Normal"/>
        <w:spacing w:lineRule="auto" w:line="264" w:before="120" w:after="0"/>
        <w:jc w:val="both"/>
        <w:rPr>
          <w:rFonts w:ascii="Arial" w:hAnsi="Arial" w:cs="Arial"/>
          <w:sz w:val="22"/>
          <w:szCs w:val="22"/>
        </w:rPr>
      </w:pPr>
      <w:r>
        <w:rPr>
          <w:rFonts w:cs="Arial" w:ascii="Arial" w:hAnsi="Arial"/>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Podpis</w:t>
        <w:tab/>
        <w:t>Podpis</w:t>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ab/>
      </w:r>
      <w:r>
        <w:rPr>
          <w:rFonts w:cs="Arial" w:ascii="Arial" w:hAnsi="Arial"/>
          <w:sz w:val="22"/>
          <w:szCs w:val="22"/>
        </w:rPr>
        <w:t>Zdeněk Ruda</w:t>
      </w:r>
      <w:r>
        <w:rPr>
          <w:rFonts w:cs="Arial" w:ascii="Arial" w:hAnsi="Arial"/>
          <w:sz w:val="22"/>
          <w:szCs w:val="22"/>
        </w:rPr>
        <w:tab/>
        <w:t>Miroslav Křížek</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Sejmuto z úřední desky dne:</w:t>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mbria">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jc w:val="center"/>
      <w:rPr/>
    </w:pPr>
    <w:r>
      <w:rPr/>
      <w:fldChar w:fldCharType="begin"/>
    </w:r>
    <w:r>
      <w:rPr/>
      <w:instrText xml:space="preserve">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sz w:val="18"/>
          <w:szCs w:val="18"/>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rPr>
          <w:rFonts w:ascii="Arial" w:hAnsi="Arial" w:cs="Arial"/>
          <w:sz w:val="18"/>
          <w:szCs w:val="18"/>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rFonts w:ascii="Arial" w:hAnsi="Arial" w:cs="Arial"/>
          <w:sz w:val="18"/>
          <w:szCs w:val="18"/>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t xml:space="preserve"> </w:t>
      </w:r>
      <w:r>
        <w:rPr>
          <w:rFonts w:cs="Arial" w:ascii="Arial" w:hAnsi="Arial"/>
          <w:sz w:val="18"/>
          <w:szCs w:val="18"/>
        </w:rPr>
        <w:t>§ 11 odst. 1 zákona o místních poplatcích</w:t>
      </w:r>
    </w:p>
  </w:footnote>
  <w:footnote w:id="17">
    <w:p>
      <w:pPr>
        <w:pStyle w:val="Poznmkapodarou"/>
        <w:rPr>
          <w:rFonts w:ascii="Arial" w:hAnsi="Arial" w:cs="Arial"/>
          <w:sz w:val="18"/>
          <w:szCs w:val="18"/>
        </w:rPr>
      </w:pPr>
      <w:r>
        <w:rPr>
          <w:rStyle w:val="Znakypropoznmkupodarou"/>
        </w:rPr>
        <w:footnoteRef/>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9">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20">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0"/>
        </w:tabs>
        <w:ind w:left="1353"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hyphenationZone w:val="425"/>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131160"/>
    <w:rPr>
      <w:sz w:val="24"/>
      <w:szCs w:val="24"/>
      <w:u w:val="single"/>
      <w:lang w:val="cs-CZ" w:eastAsia="cs-CZ" w:bidi="ar-SA"/>
    </w:rPr>
  </w:style>
  <w:style w:type="character" w:styleId="ZkladntextodsazenChar" w:customStyle="1">
    <w:name w:val="Základní text odsazený Char"/>
    <w:semiHidden/>
    <w:qFormat/>
    <w:rsid w:val="00131160"/>
    <w:rPr>
      <w:sz w:val="24"/>
      <w:szCs w:val="24"/>
      <w:lang w:val="cs-CZ" w:eastAsia="cs-CZ" w:bidi="ar-SA"/>
    </w:rPr>
  </w:style>
  <w:style w:type="character" w:styleId="ZhlavChar" w:customStyle="1">
    <w:name w:val="Záhlaví Char"/>
    <w:semiHidden/>
    <w:qFormat/>
    <w:rsid w:val="00131160"/>
    <w:rPr>
      <w:sz w:val="24"/>
      <w:szCs w:val="24"/>
      <w:lang w:val="cs-CZ" w:eastAsia="cs-CZ" w:bidi="ar-SA"/>
    </w:rPr>
  </w:style>
  <w:style w:type="character" w:styleId="ZkladntextChar" w:customStyle="1">
    <w:name w:val="Základní text Char"/>
    <w:semiHidden/>
    <w:qFormat/>
    <w:rsid w:val="00131160"/>
    <w:rPr>
      <w:sz w:val="24"/>
      <w:szCs w:val="24"/>
      <w:lang w:val="cs-CZ" w:eastAsia="cs-CZ" w:bidi="ar-SA"/>
    </w:rPr>
  </w:style>
  <w:style w:type="character" w:styleId="TextpoznpodarouChar" w:customStyle="1">
    <w:name w:val="Text pozn. pod čarou Char"/>
    <w:semiHidden/>
    <w:qFormat/>
    <w:rsid w:val="00131160"/>
    <w:rPr>
      <w:lang w:val="cs-CZ" w:eastAsia="cs-CZ" w:bidi="ar-SA"/>
    </w:rPr>
  </w:style>
  <w:style w:type="character" w:styleId="Ukotvenpoznmkypodarou">
    <w:name w:val="Footnote Reference"/>
    <w:rPr>
      <w:vertAlign w:val="superscript"/>
    </w:rPr>
  </w:style>
  <w:style w:type="character" w:styleId="FootnoteCharacters">
    <w:name w:val="Footnote Characters"/>
    <w:semiHidden/>
    <w:qFormat/>
    <w:rsid w:val="00131160"/>
    <w:rPr>
      <w:vertAlign w:val="superscript"/>
    </w:rPr>
  </w:style>
  <w:style w:type="character" w:styleId="ZpatChar" w:customStyle="1">
    <w:name w:val="Zápatí Char"/>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qFormat/>
    <w:rsid w:val="004f3772"/>
    <w:rPr/>
  </w:style>
  <w:style w:type="character" w:styleId="PedmtkomenteChar" w:customStyle="1">
    <w:name w:val="Předmět komentáře Char"/>
    <w:qFormat/>
    <w:rsid w:val="004f3772"/>
    <w:rPr>
      <w:b/>
      <w:bCs/>
    </w:rPr>
  </w:style>
  <w:style w:type="character" w:styleId="TextbublinyChar" w:customStyle="1">
    <w:name w:val="Text bubliny Char"/>
    <w:qFormat/>
    <w:rsid w:val="004f3772"/>
    <w:rPr>
      <w:rFonts w:ascii="Segoe UI" w:hAnsi="Segoe UI" w:cs="Segoe UI"/>
      <w:sz w:val="18"/>
      <w:szCs w:val="18"/>
    </w:rPr>
  </w:style>
  <w:style w:type="character" w:styleId="Znakypropoznmkupodarou">
    <w:name w:val="Znaky pro poznámku pod čarou"/>
    <w:qFormat/>
    <w:rPr/>
  </w:style>
  <w:style w:type="character" w:styleId="Ukotvenvysvtlivky">
    <w:name w:val="Endnote Reference"/>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FandolFang R" w:cs="Droid Sans Devanagari"/>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Droid Sans Devanagari"/>
    </w:rPr>
  </w:style>
  <w:style w:type="paragraph" w:styleId="Popisek">
    <w:name w:val="Caption"/>
    <w:basedOn w:val="Normal"/>
    <w:qFormat/>
    <w:pPr>
      <w:suppressLineNumbers/>
      <w:spacing w:before="120" w:after="120"/>
    </w:pPr>
    <w:rPr>
      <w:rFonts w:cs="Droid Sans Devanagari"/>
      <w:i/>
      <w:iCs/>
      <w:sz w:val="24"/>
      <w:szCs w:val="24"/>
    </w:rPr>
  </w:style>
  <w:style w:type="paragraph" w:styleId="Rejstk">
    <w:name w:val="Rejstřík"/>
    <w:basedOn w:val="Normal"/>
    <w:qFormat/>
    <w:pPr>
      <w:suppressLineNumbers/>
    </w:pPr>
    <w:rPr>
      <w:rFonts w:cs="Droid Sans Devanagari"/>
      <w:lang w:val="zxx" w:eastAsia="zxx" w:bidi="zxx"/>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outlineLvl w:val="9"/>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tru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next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D0DC-7744-4239-8A72-1DEF8C9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Application>LibreOffice/7.4.3.2$Linux_X86_64 LibreOffice_project/40$Build-2</Application>
  <AppVersion>15.0000</AppVersion>
  <Pages>5</Pages>
  <Words>1074</Words>
  <Characters>6087</Characters>
  <CharactersWithSpaces>7093</CharactersWithSpaces>
  <Paragraphs>97</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2020-12-11T10:07:00Z</dcterms:created>
  <dc:creator>Mgr. Lukáš Toman</dc:creator>
  <dc:description/>
  <dc:language>cs-CZ</dc:language>
  <cp:lastModifiedBy/>
  <dcterms:modified xsi:type="dcterms:W3CDTF">2022-12-14T09:57:58Z</dcterms:modified>
  <cp:revision>15</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