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OBEC SVÉMYSLICE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 xml:space="preserve">Zastupitelstvo obce </w:t>
      </w:r>
      <w:r>
        <w:rPr>
          <w:rFonts w:cs="Arial" w:ascii="Arial" w:hAnsi="Arial"/>
          <w:b/>
          <w:shd w:fill="auto" w:val="clear"/>
        </w:rPr>
        <w:t xml:space="preserve">Svémyslice </w:t>
      </w:r>
    </w:p>
    <w:p>
      <w:pPr>
        <w:pStyle w:val="Normal"/>
        <w:spacing w:lineRule="auto" w:line="276"/>
        <w:jc w:val="center"/>
        <w:rPr>
          <w:shd w:fill="auto" w:val="clear"/>
        </w:rPr>
      </w:pPr>
      <w:r>
        <w:rPr>
          <w:rFonts w:cs="Arial" w:ascii="Arial" w:hAnsi="Arial"/>
          <w:b/>
          <w:shd w:fill="auto" w:val="clear"/>
        </w:rPr>
        <w:t>Obecně závazná vyhláška</w:t>
      </w:r>
      <w:r>
        <w:rPr>
          <w:rFonts w:cs="Arial" w:ascii="Arial" w:hAnsi="Arial"/>
          <w:b/>
          <w:color w:val="000000"/>
          <w:shd w:fill="auto" w:val="clear"/>
        </w:rPr>
        <w:t xml:space="preserve"> obce Svémyslice č. </w:t>
      </w:r>
      <w:r>
        <w:rPr>
          <w:rFonts w:eastAsia="Times New Roman" w:cs="Arial" w:ascii="Arial" w:hAnsi="Arial"/>
          <w:b/>
          <w:color w:val="000000"/>
          <w:kern w:val="0"/>
          <w:sz w:val="24"/>
          <w:szCs w:val="24"/>
          <w:shd w:fill="auto" w:val="clear"/>
          <w:lang w:val="cs-CZ" w:eastAsia="cs-CZ" w:bidi="ar-SA"/>
        </w:rPr>
        <w:t>3</w:t>
      </w:r>
      <w:r>
        <w:rPr>
          <w:rFonts w:cs="Arial" w:ascii="Arial" w:hAnsi="Arial"/>
          <w:b/>
          <w:color w:val="000000"/>
          <w:shd w:fill="auto" w:val="clear"/>
        </w:rPr>
        <w:t>/2025,</w:t>
      </w:r>
    </w:p>
    <w:p>
      <w:pPr>
        <w:pStyle w:val="Normal"/>
        <w:jc w:val="center"/>
        <w:rPr>
          <w:color w:val="000000"/>
          <w:highlight w:val="none"/>
          <w:shd w:fill="auto" w:val="clear"/>
        </w:rPr>
      </w:pPr>
      <w:r>
        <w:rPr>
          <w:rFonts w:cs="Arial" w:ascii="Arial" w:hAnsi="Arial"/>
          <w:b/>
          <w:color w:val="000000"/>
          <w:shd w:fill="auto" w:val="clear"/>
        </w:rPr>
        <w:t>o místním poplatku za odkládání komunálního odpadu z nemovité věci</w:t>
      </w:r>
    </w:p>
    <w:p>
      <w:pPr>
        <w:pStyle w:val="nzevzkona"/>
        <w:tabs>
          <w:tab w:val="clear" w:pos="708"/>
          <w:tab w:val="left" w:pos="2977" w:leader="none"/>
        </w:tabs>
        <w:spacing w:lineRule="auto" w:line="264" w:before="0" w:after="0"/>
        <w:jc w:val="both"/>
        <w:rPr>
          <w:rFonts w:ascii="Arial" w:hAnsi="Arial" w:cs="Arial"/>
          <w:b w:val="false"/>
          <w:color w:val="000000"/>
          <w:sz w:val="22"/>
          <w:szCs w:val="22"/>
          <w:highlight w:val="none"/>
          <w:shd w:fill="auto" w:val="clear"/>
        </w:rPr>
      </w:pPr>
      <w:r>
        <w:rPr>
          <w:rFonts w:cs="Arial" w:ascii="Arial" w:hAnsi="Arial"/>
          <w:b w:val="false"/>
          <w:color w:val="000000"/>
          <w:sz w:val="22"/>
          <w:szCs w:val="22"/>
          <w:shd w:fill="auto" w:val="clear"/>
        </w:rPr>
      </w:r>
    </w:p>
    <w:p>
      <w:pPr>
        <w:pStyle w:val="nzevzkona"/>
        <w:tabs>
          <w:tab w:val="clear" w:pos="708"/>
          <w:tab w:val="left" w:pos="2977" w:leader="none"/>
        </w:tabs>
        <w:spacing w:lineRule="auto" w:line="264" w:before="0" w:after="0"/>
        <w:jc w:val="both"/>
        <w:rPr>
          <w:color w:val="000000"/>
          <w:highlight w:val="none"/>
          <w:shd w:fill="auto" w:val="clear"/>
        </w:rPr>
      </w:pPr>
      <w:r>
        <w:rPr>
          <w:rFonts w:cs="Arial" w:ascii="Arial" w:hAnsi="Arial"/>
          <w:b w:val="false"/>
          <w:color w:val="000000"/>
          <w:sz w:val="22"/>
          <w:szCs w:val="22"/>
          <w:shd w:fill="auto" w:val="clear"/>
        </w:rPr>
        <w:t>Zastupitelstvo obce Svémyslice se na svém zasedání dne 26</w:t>
      </w:r>
      <w:r>
        <w:rPr>
          <w:rFonts w:eastAsia="Times New Roman" w:cs="Arial" w:ascii="Arial" w:hAnsi="Arial"/>
          <w:b w:val="false"/>
          <w:bCs/>
          <w:color w:val="000000"/>
          <w:kern w:val="2"/>
          <w:sz w:val="22"/>
          <w:szCs w:val="22"/>
          <w:shd w:fill="auto" w:val="clear"/>
          <w:lang w:val="cs-CZ" w:eastAsia="cs-CZ" w:bidi="ar-SA"/>
        </w:rPr>
        <w:t>.11.2025</w:t>
      </w:r>
      <w:r>
        <w:rPr>
          <w:rFonts w:cs="Arial" w:ascii="Arial" w:hAnsi="Arial"/>
          <w:b w:val="false"/>
          <w:color w:val="000000"/>
          <w:sz w:val="22"/>
          <w:szCs w:val="22"/>
          <w:shd w:fill="auto" w:val="clear"/>
        </w:rPr>
        <w:t xml:space="preserve"> usnesením</w:t>
        <w:br/>
        <w:t xml:space="preserve">č. </w:t>
      </w:r>
      <w:r>
        <w:rPr>
          <w:rFonts w:cs="Arial" w:ascii="Arial" w:hAnsi="Arial"/>
          <w:b w:val="false"/>
          <w:color w:val="000000"/>
          <w:sz w:val="22"/>
          <w:szCs w:val="22"/>
          <w:shd w:fill="auto" w:val="clear"/>
        </w:rPr>
        <w:t>148</w:t>
      </w:r>
      <w:r>
        <w:rPr>
          <w:rFonts w:eastAsia="Times New Roman" w:cs="Arial" w:ascii="Arial" w:hAnsi="Arial"/>
          <w:b w:val="false"/>
          <w:bCs/>
          <w:color w:val="000000"/>
          <w:kern w:val="2"/>
          <w:sz w:val="22"/>
          <w:szCs w:val="22"/>
          <w:shd w:fill="auto" w:val="clear"/>
          <w:lang w:val="cs-CZ" w:eastAsia="cs-CZ" w:bidi="ar-SA"/>
        </w:rPr>
        <w:t>/2022-26</w:t>
      </w:r>
      <w:r>
        <w:rPr>
          <w:rFonts w:cs="Arial" w:ascii="Arial" w:hAnsi="Arial"/>
          <w:b w:val="false"/>
          <w:color w:val="000000"/>
          <w:sz w:val="22"/>
          <w:szCs w:val="22"/>
          <w:shd w:fill="auto" w:val="clear"/>
        </w:rPr>
        <w:t xml:space="preserve"> </w:t>
      </w:r>
      <w:r>
        <w:rPr>
          <w:rFonts w:cs="Arial" w:ascii="Arial" w:hAnsi="Arial"/>
          <w:b w:val="false"/>
          <w:color w:val="000000"/>
          <w:sz w:val="22"/>
          <w:szCs w:val="22"/>
          <w:shd w:fill="auto" w:val="clear"/>
        </w:rPr>
        <w:t>usneslo vydat na základě</w:t>
      </w:r>
      <w:r>
        <w:rPr>
          <w:rFonts w:cs="Arial" w:ascii="Arial" w:hAnsi="Arial"/>
          <w:b w:val="false"/>
          <w:bCs w:val="false"/>
          <w:color w:val="000000"/>
          <w:sz w:val="22"/>
          <w:szCs w:val="22"/>
          <w:shd w:fill="auto" w:val="clear"/>
        </w:rPr>
        <w:t xml:space="preserve"> § 14 zákona č. 565/1990 Sb., o místních poplatcích, ve znění pozdějších předpisů (dále jen „zákon o místních poplatcích“), a v souladu s § 10 písm. d) a § 84 odst. 2 písm. h) zákona č. 128/2000 Sb., o ob</w:t>
      </w:r>
      <w:r>
        <w:rPr>
          <w:rFonts w:cs="Arial" w:ascii="Arial" w:hAnsi="Arial"/>
          <w:b w:val="false"/>
          <w:bCs w:val="false"/>
          <w:color w:val="000000"/>
          <w:sz w:val="22"/>
          <w:szCs w:val="22"/>
          <w:shd w:fill="auto" w:val="clear"/>
        </w:rPr>
        <w:t xml:space="preserve">cích (obecní zřízení), ve znění pozdějších předpisů, tuto obecně závaznou vyhlášku (dále jen „tato vyhláška“): </w:t>
      </w:r>
    </w:p>
    <w:p>
      <w:pPr>
        <w:pStyle w:val="slalnk"/>
        <w:spacing w:before="480" w:after="60"/>
        <w:rPr>
          <w:color w:val="000000"/>
          <w:highlight w:val="none"/>
          <w:shd w:fill="auto" w:val="clear"/>
        </w:rPr>
      </w:pPr>
      <w:r>
        <w:rPr>
          <w:rFonts w:cs="Arial" w:ascii="Arial" w:hAnsi="Arial"/>
          <w:color w:val="000000"/>
          <w:shd w:fill="auto" w:val="clear"/>
        </w:rPr>
        <w:t>Čl. 1</w:t>
      </w:r>
    </w:p>
    <w:p>
      <w:pPr>
        <w:pStyle w:val="Nzvylnk"/>
        <w:rPr>
          <w:color w:val="000000"/>
          <w:highlight w:val="none"/>
          <w:shd w:fill="auto" w:val="clear"/>
        </w:rPr>
      </w:pPr>
      <w:r>
        <w:rPr>
          <w:rFonts w:cs="Arial" w:ascii="Arial" w:hAnsi="Arial"/>
          <w:color w:val="000000"/>
          <w:shd w:fill="auto" w:val="clear"/>
        </w:rPr>
        <w:t>Úvodní ustanovení</w:t>
      </w:r>
    </w:p>
    <w:p>
      <w:pPr>
        <w:pStyle w:val="BodyTextIndent"/>
        <w:numPr>
          <w:ilvl w:val="0"/>
          <w:numId w:val="1"/>
        </w:numPr>
        <w:spacing w:lineRule="auto" w:line="264" w:before="0" w:after="60"/>
        <w:rPr>
          <w:color w:val="000000"/>
          <w:highlight w:val="none"/>
          <w:shd w:fill="auto" w:val="clear"/>
        </w:rPr>
      </w:pPr>
      <w:r>
        <w:rPr>
          <w:rFonts w:cs="Arial" w:ascii="Arial" w:hAnsi="Arial"/>
          <w:color w:val="000000"/>
          <w:sz w:val="22"/>
          <w:szCs w:val="22"/>
          <w:shd w:fill="auto" w:val="clear"/>
        </w:rPr>
        <w:t>Obec Svémyslice touto vyhláškou zavádí místní poplatek za odkládání komunálního odpadu z nemovité věci (dále jen „poplatek“).</w:t>
      </w:r>
    </w:p>
    <w:p>
      <w:pPr>
        <w:pStyle w:val="Normal"/>
        <w:numPr>
          <w:ilvl w:val="0"/>
          <w:numId w:val="1"/>
        </w:numPr>
        <w:spacing w:lineRule="auto" w:line="288"/>
        <w:jc w:val="both"/>
        <w:rPr>
          <w:color w:val="000000"/>
          <w:highlight w:val="none"/>
          <w:shd w:fill="auto" w:val="clear"/>
        </w:rPr>
      </w:pPr>
      <w:r>
        <w:rPr>
          <w:rFonts w:cs="Arial" w:ascii="Arial" w:hAnsi="Arial"/>
          <w:color w:val="000000"/>
          <w:sz w:val="22"/>
          <w:szCs w:val="22"/>
          <w:shd w:fill="auto" w:val="clear"/>
        </w:rPr>
        <w:t>Správcem poplatku je obecní úřad.</w:t>
      </w:r>
      <w:r>
        <w:rPr>
          <w:rStyle w:val="FootnoteReference"/>
          <w:rFonts w:cs="Arial" w:ascii="Arial" w:hAnsi="Arial"/>
          <w:color w:val="000000"/>
          <w:sz w:val="22"/>
          <w:szCs w:val="22"/>
          <w:shd w:fill="auto" w:val="clear"/>
          <w:vertAlign w:val="superscript"/>
        </w:rPr>
        <w:footnoteReference w:id="2"/>
      </w:r>
    </w:p>
    <w:p>
      <w:pPr>
        <w:pStyle w:val="slalnk"/>
        <w:spacing w:before="480" w:after="60"/>
        <w:rPr>
          <w:color w:val="000000"/>
          <w:highlight w:val="none"/>
          <w:shd w:fill="auto" w:val="clear"/>
        </w:rPr>
      </w:pPr>
      <w:r>
        <w:rPr>
          <w:rFonts w:cs="Arial" w:ascii="Arial" w:hAnsi="Arial"/>
          <w:color w:val="000000"/>
          <w:shd w:fill="auto" w:val="clear"/>
        </w:rPr>
        <w:t>Čl. 2</w:t>
      </w:r>
    </w:p>
    <w:p>
      <w:pPr>
        <w:pStyle w:val="Nzvylnk"/>
        <w:rPr>
          <w:color w:val="000000"/>
          <w:highlight w:val="none"/>
          <w:shd w:fill="auto" w:val="clear"/>
        </w:rPr>
      </w:pPr>
      <w:r>
        <w:rPr>
          <w:rFonts w:cs="Arial" w:ascii="Arial" w:hAnsi="Arial"/>
          <w:color w:val="000000"/>
          <w:shd w:fill="auto" w:val="clear"/>
        </w:rPr>
        <w:t>Předmět poplatku, poplatník a plátce poplatku</w:t>
      </w:r>
    </w:p>
    <w:p>
      <w:pPr>
        <w:pStyle w:val="Normal"/>
        <w:numPr>
          <w:ilvl w:val="0"/>
          <w:numId w:val="5"/>
        </w:numPr>
        <w:spacing w:lineRule="auto" w:line="264" w:before="120" w:after="60"/>
        <w:ind w:hanging="567" w:left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  <w:shd w:fill="auto" w:val="clear"/>
        </w:rPr>
        <w:t>Předmětem poplatku je odkládání směsného komunálního odpadu z jednotlivé nemovité věci zahrnující byt, rodinný d</w:t>
      </w:r>
      <w:r>
        <w:rPr>
          <w:rFonts w:cs="Arial" w:ascii="Arial" w:hAnsi="Arial"/>
          <w:color w:val="000000"/>
          <w:sz w:val="22"/>
          <w:szCs w:val="22"/>
        </w:rPr>
        <w:t>ům nebo stavbu pro rodinnou rekreaci, která se nachází na území obce.</w:t>
      </w:r>
      <w:r>
        <w:rPr>
          <w:rStyle w:val="FootnoteReference"/>
          <w:rFonts w:cs="Arial" w:ascii="Arial" w:hAnsi="Arial"/>
          <w:color w:val="000000"/>
          <w:sz w:val="22"/>
          <w:szCs w:val="22"/>
        </w:rPr>
        <w:footnoteReference w:id="3"/>
      </w:r>
      <w:r>
        <w:rPr>
          <w:rFonts w:cs="Arial" w:ascii="Arial" w:hAnsi="Arial"/>
          <w:color w:val="000000"/>
          <w:sz w:val="22"/>
          <w:szCs w:val="22"/>
        </w:rPr>
        <w:t xml:space="preserve"> </w:t>
      </w:r>
    </w:p>
    <w:p>
      <w:pPr>
        <w:pStyle w:val="Normal"/>
        <w:numPr>
          <w:ilvl w:val="0"/>
          <w:numId w:val="5"/>
        </w:numPr>
        <w:spacing w:lineRule="auto" w:line="264" w:before="120" w:after="60"/>
        <w:ind w:hanging="567" w:left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Poplatníkem poplatku je</w:t>
      </w:r>
      <w:r>
        <w:rPr>
          <w:rStyle w:val="FootnoteReference"/>
          <w:rFonts w:cs="Arial" w:ascii="Arial" w:hAnsi="Arial"/>
          <w:sz w:val="22"/>
          <w:szCs w:val="22"/>
        </w:rPr>
        <w:footnoteReference w:id="4"/>
      </w:r>
    </w:p>
    <w:p>
      <w:pPr>
        <w:pStyle w:val="Default"/>
        <w:spacing w:before="0"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věci, ve které nemá bydliště žádná fyzická osoba. </w:t>
      </w:r>
    </w:p>
    <w:p>
      <w:pPr>
        <w:pStyle w:val="Normal"/>
        <w:numPr>
          <w:ilvl w:val="0"/>
          <w:numId w:val="5"/>
        </w:numPr>
        <w:spacing w:lineRule="auto" w:line="264" w:before="120" w:after="60"/>
        <w:ind w:hanging="567" w:left="567"/>
        <w:jc w:val="both"/>
        <w:rPr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Plátcem poplatku je</w:t>
      </w:r>
      <w:r>
        <w:rPr>
          <w:rStyle w:val="FootnoteReference"/>
          <w:rFonts w:cs="Arial" w:ascii="Arial" w:hAnsi="Arial"/>
          <w:sz w:val="22"/>
          <w:szCs w:val="22"/>
        </w:rPr>
        <w:footnoteReference w:id="5"/>
      </w:r>
      <w:r>
        <w:rPr>
          <w:rFonts w:cs="Arial" w:ascii="Arial" w:hAnsi="Arial"/>
          <w:sz w:val="22"/>
          <w:szCs w:val="22"/>
        </w:rPr>
        <w:t xml:space="preserve"> </w:t>
      </w:r>
    </w:p>
    <w:p>
      <w:pPr>
        <w:pStyle w:val="Default"/>
        <w:spacing w:before="0"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>b) vlastník nemovité věci v ostatních případech.</w:t>
      </w:r>
    </w:p>
    <w:p>
      <w:pPr>
        <w:pStyle w:val="Normal"/>
        <w:numPr>
          <w:ilvl w:val="0"/>
          <w:numId w:val="5"/>
        </w:numPr>
        <w:spacing w:lineRule="auto" w:line="264" w:before="120" w:after="60"/>
        <w:ind w:hanging="567" w:left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>Plátce poplatku je povinen vybrat poplatek od poplatníka</w:t>
      </w:r>
      <w:r>
        <w:rPr>
          <w:rStyle w:val="FootnoteReference"/>
          <w:rFonts w:cs="Arial" w:ascii="Arial" w:hAnsi="Arial"/>
          <w:color w:val="000000"/>
          <w:sz w:val="22"/>
          <w:szCs w:val="22"/>
        </w:rPr>
        <w:footnoteReference w:id="6"/>
      </w:r>
      <w:r>
        <w:rPr>
          <w:rFonts w:cs="Arial" w:ascii="Arial" w:hAnsi="Arial"/>
          <w:sz w:val="22"/>
          <w:szCs w:val="22"/>
        </w:rPr>
        <w:t>.</w:t>
      </w:r>
    </w:p>
    <w:p>
      <w:pPr>
        <w:pStyle w:val="Normal"/>
        <w:numPr>
          <w:ilvl w:val="0"/>
          <w:numId w:val="5"/>
        </w:numPr>
        <w:spacing w:lineRule="auto" w:line="264" w:before="120" w:after="60"/>
        <w:ind w:hanging="567" w:left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FootnoteReference"/>
          <w:rFonts w:cs="Arial" w:ascii="Arial" w:hAnsi="Arial"/>
          <w:sz w:val="22"/>
          <w:szCs w:val="22"/>
        </w:rPr>
        <w:footnoteReference w:id="7"/>
      </w:r>
    </w:p>
    <w:p>
      <w:pPr>
        <w:pStyle w:val="slalnk"/>
        <w:spacing w:before="480" w:after="60"/>
        <w:ind w:firstLine="126" w:left="4122"/>
        <w:jc w:val="left"/>
        <w:rPr>
          <w:rFonts w:ascii="Arial" w:hAnsi="Arial" w:cs="Arial"/>
        </w:rPr>
      </w:pPr>
      <w:r>
        <w:rPr>
          <w:rFonts w:cs="Arial" w:ascii="Arial" w:hAnsi="Arial"/>
        </w:rPr>
        <w:t>Čl. 3</w:t>
      </w:r>
    </w:p>
    <w:p>
      <w:pPr>
        <w:pStyle w:val="Nzvylnk"/>
        <w:ind w:firstLine="63" w:left="3477"/>
        <w:jc w:val="left"/>
        <w:rPr>
          <w:rFonts w:ascii="Arial" w:hAnsi="Arial" w:cs="Arial"/>
        </w:rPr>
      </w:pPr>
      <w:r>
        <w:rPr>
          <w:rFonts w:cs="Arial" w:ascii="Arial" w:hAnsi="Arial"/>
        </w:rPr>
        <w:t>Poplatkové období</w:t>
      </w:r>
    </w:p>
    <w:p>
      <w:pPr>
        <w:pStyle w:val="Normal"/>
        <w:spacing w:lineRule="auto" w:line="312" w:before="120" w:after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Poplatkovým obdobím poplatku je kalendářní rok.</w:t>
      </w:r>
      <w:r>
        <w:rPr>
          <w:rStyle w:val="FootnoteReference"/>
          <w:rFonts w:cs="Arial" w:ascii="Arial" w:hAnsi="Arial"/>
          <w:sz w:val="22"/>
          <w:szCs w:val="22"/>
        </w:rPr>
        <w:footnoteReference w:id="8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4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Ohlašovací povinnost</w:t>
      </w:r>
    </w:p>
    <w:p>
      <w:pPr>
        <w:pStyle w:val="Normal"/>
        <w:numPr>
          <w:ilvl w:val="0"/>
          <w:numId w:val="4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Plátce poplatku je povinen podat správci poplatku ohlášení nejpozději do 30  dnů ode dne, kdy nabyl postavení plátce poplatku. </w:t>
      </w:r>
    </w:p>
    <w:p>
      <w:pPr>
        <w:pStyle w:val="Normal"/>
        <w:numPr>
          <w:ilvl w:val="0"/>
          <w:numId w:val="4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Dojde-li ke změně údajů uvedených v ohlášení, je plátce povinen tuto změnu oznámit do 15 dnů ode dne, kdy nastala.</w:t>
      </w:r>
      <w:r>
        <w:rPr>
          <w:rStyle w:val="FootnoteReference"/>
          <w:rFonts w:cs="Arial" w:ascii="Arial" w:hAnsi="Arial"/>
          <w:sz w:val="22"/>
          <w:szCs w:val="22"/>
        </w:rPr>
        <w:footnoteReference w:id="9"/>
      </w:r>
    </w:p>
    <w:p>
      <w:pPr>
        <w:pStyle w:val="Normal"/>
        <w:numPr>
          <w:ilvl w:val="0"/>
          <w:numId w:val="4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Není-li plátce, plní ohlašovací povinnost poplatník.</w:t>
      </w:r>
      <w:r>
        <w:rPr>
          <w:rStyle w:val="FootnoteReference"/>
          <w:rFonts w:cs="Arial" w:ascii="Arial" w:hAnsi="Arial"/>
          <w:sz w:val="22"/>
          <w:szCs w:val="22"/>
        </w:rPr>
        <w:footnoteReference w:id="10"/>
      </w:r>
    </w:p>
    <w:p>
      <w:pPr>
        <w:pStyle w:val="slalnk"/>
        <w:spacing w:before="480" w:after="60"/>
        <w:rPr>
          <w:rFonts w:ascii="Arial" w:hAnsi="Arial" w:cs="Arial"/>
          <w:i/>
          <w:i/>
        </w:rPr>
      </w:pPr>
      <w:r>
        <w:rPr>
          <w:rFonts w:cs="Arial" w:ascii="Arial" w:hAnsi="Arial"/>
        </w:rPr>
        <w:t>Čl. 5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Základ poplatku</w:t>
      </w:r>
      <w:r>
        <w:rPr>
          <w:rStyle w:val="FootnoteReference"/>
          <w:rFonts w:cs="Arial" w:ascii="Arial" w:hAnsi="Arial"/>
        </w:rPr>
        <w:footnoteReference w:id="11"/>
      </w:r>
    </w:p>
    <w:p>
      <w:pPr>
        <w:pStyle w:val="Normal"/>
        <w:numPr>
          <w:ilvl w:val="0"/>
          <w:numId w:val="3"/>
        </w:numPr>
        <w:spacing w:lineRule="auto" w:line="264" w:before="120" w:after="60"/>
        <w:jc w:val="both"/>
        <w:rPr>
          <w:rFonts w:ascii="Arial" w:hAnsi="Arial" w:cs="Arial"/>
          <w:i/>
          <w:i/>
          <w:color w:val="0070C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Základem dílčího poplatku je objem odpadu odloženého z nemovité věci za kalendářní měsíc v litrech připadajícího na poplatníka. </w:t>
      </w:r>
    </w:p>
    <w:p>
      <w:pPr>
        <w:pStyle w:val="Default"/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Objemem odpadu odloženého z nemovité věci za kalendářní měsíc připadající na poplatníka je </w:t>
      </w:r>
    </w:p>
    <w:p>
      <w:pPr>
        <w:pStyle w:val="Default"/>
        <w:spacing w:before="0" w:after="55"/>
        <w:ind w:hanging="0" w:left="567"/>
        <w:jc w:val="both"/>
        <w:rPr>
          <w:sz w:val="22"/>
          <w:szCs w:val="22"/>
        </w:rPr>
      </w:pPr>
      <w:r>
        <w:rPr>
          <w:sz w:val="22"/>
          <w:szCs w:val="22"/>
        </w:rPr>
        <w:t>a) podíl objemu odpadu odloženého z této nemovité věci za kalendářní měsíc a počtu fyzických osob, které v této nemovité věci mají bydliště na konci kalendářního měsíce, nebo</w:t>
      </w:r>
    </w:p>
    <w:p>
      <w:pPr>
        <w:pStyle w:val="Default"/>
        <w:ind w:hanging="0"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objem odpadu odloženého z této nemovitou věci za kalendářní měsíc </w:t>
        <w:br/>
        <w:t xml:space="preserve">v případě, že v nemovité věci nemá bydliště žádná fyzická osoba. </w:t>
      </w:r>
    </w:p>
    <w:p>
      <w:pPr>
        <w:pStyle w:val="Normal"/>
        <w:numPr>
          <w:ilvl w:val="0"/>
          <w:numId w:val="3"/>
        </w:numPr>
        <w:spacing w:lineRule="auto" w:line="264" w:before="120" w:after="60"/>
        <w:jc w:val="both"/>
        <w:rPr>
          <w:rFonts w:ascii="Arial" w:hAnsi="Arial" w:cs="Arial"/>
          <w:i/>
          <w:i/>
          <w:color w:val="0070C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Minimální základ dílčího poplatku č</w:t>
      </w:r>
      <w:r>
        <w:rPr>
          <w:rFonts w:cs="Arial" w:ascii="Arial" w:hAnsi="Arial"/>
          <w:sz w:val="22"/>
          <w:szCs w:val="22"/>
          <w:shd w:fill="auto" w:val="clear"/>
        </w:rPr>
        <w:t>iní 60 l.</w:t>
      </w:r>
    </w:p>
    <w:p>
      <w:pPr>
        <w:pStyle w:val="slalnk"/>
        <w:spacing w:before="480" w:after="60"/>
        <w:rPr>
          <w:highlight w:val="none"/>
          <w:shd w:fill="auto" w:val="clear"/>
        </w:rPr>
      </w:pPr>
      <w:r>
        <w:rPr>
          <w:rFonts w:cs="Arial" w:ascii="Arial" w:hAnsi="Arial"/>
          <w:shd w:fill="auto" w:val="clear"/>
        </w:rPr>
        <w:t>Čl. 6</w:t>
      </w:r>
    </w:p>
    <w:p>
      <w:pPr>
        <w:pStyle w:val="Nzvylnk"/>
        <w:rPr>
          <w:highlight w:val="none"/>
          <w:shd w:fill="auto" w:val="clear"/>
        </w:rPr>
      </w:pPr>
      <w:r>
        <w:rPr>
          <w:rFonts w:cs="Arial" w:ascii="Arial" w:hAnsi="Arial"/>
          <w:shd w:fill="auto" w:val="clear"/>
        </w:rPr>
        <w:t>Sazba poplatku</w:t>
      </w:r>
    </w:p>
    <w:p>
      <w:pPr>
        <w:pStyle w:val="Normal"/>
        <w:spacing w:lineRule="auto" w:line="264" w:before="120" w:after="60"/>
        <w:ind w:hanging="0" w:left="567"/>
        <w:jc w:val="both"/>
        <w:rPr>
          <w:highlight w:val="none"/>
          <w:shd w:fill="auto" w:val="clear"/>
        </w:rPr>
      </w:pPr>
      <w:r>
        <w:rPr>
          <w:rFonts w:cs="Arial" w:ascii="Arial" w:hAnsi="Arial"/>
          <w:i/>
          <w:color w:val="0070C0"/>
          <w:sz w:val="22"/>
          <w:szCs w:val="22"/>
          <w:shd w:fill="auto" w:val="clear"/>
        </w:rPr>
        <w:t xml:space="preserve"> </w:t>
      </w:r>
      <w:r>
        <w:rPr>
          <w:rFonts w:cs="Arial" w:ascii="Arial" w:hAnsi="Arial"/>
          <w:sz w:val="22"/>
          <w:szCs w:val="22"/>
          <w:shd w:fill="auto" w:val="clear"/>
        </w:rPr>
        <w:t>Sazba poplatku</w:t>
      </w:r>
      <w:r>
        <w:rPr>
          <w:rFonts w:cs="Arial" w:ascii="Arial" w:hAnsi="Arial"/>
          <w:sz w:val="22"/>
          <w:szCs w:val="22"/>
          <w:shd w:fill="auto" w:val="clear"/>
        </w:rPr>
        <w:t xml:space="preserve"> činí 1,00 Kč za l.</w:t>
      </w:r>
    </w:p>
    <w:p>
      <w:pPr>
        <w:pStyle w:val="slalnk"/>
        <w:spacing w:before="480" w:after="60"/>
        <w:rPr>
          <w:highlight w:val="none"/>
          <w:shd w:fill="auto" w:val="clear"/>
        </w:rPr>
      </w:pPr>
      <w:r>
        <w:rPr>
          <w:rFonts w:cs="Arial" w:ascii="Arial" w:hAnsi="Arial"/>
          <w:shd w:fill="auto" w:val="clear"/>
        </w:rPr>
        <w:t>Čl. 7</w:t>
      </w:r>
    </w:p>
    <w:p>
      <w:pPr>
        <w:pStyle w:val="Nzvylnk"/>
        <w:rPr>
          <w:highlight w:val="none"/>
          <w:shd w:fill="auto" w:val="clear"/>
        </w:rPr>
      </w:pPr>
      <w:r>
        <w:rPr>
          <w:rFonts w:cs="Arial" w:ascii="Arial" w:hAnsi="Arial"/>
          <w:shd w:fill="auto" w:val="clear"/>
        </w:rPr>
        <w:t>Výpočet poplatku</w:t>
      </w:r>
      <w:r>
        <w:rPr>
          <w:rStyle w:val="FootnoteReference"/>
          <w:rFonts w:cs="Arial" w:ascii="Arial" w:hAnsi="Arial"/>
          <w:shd w:fill="auto" w:val="clear"/>
        </w:rPr>
        <w:footnoteReference w:id="12"/>
      </w:r>
    </w:p>
    <w:p>
      <w:pPr>
        <w:pStyle w:val="Normal"/>
        <w:numPr>
          <w:ilvl w:val="0"/>
          <w:numId w:val="6"/>
        </w:numPr>
        <w:spacing w:lineRule="auto" w:line="264" w:before="120" w:after="60"/>
        <w:jc w:val="both"/>
        <w:rPr>
          <w:highlight w:val="none"/>
          <w:shd w:fill="auto" w:val="clear"/>
        </w:rPr>
      </w:pPr>
      <w:r>
        <w:rPr>
          <w:rFonts w:cs="Arial" w:ascii="Arial" w:hAnsi="Arial"/>
          <w:sz w:val="22"/>
          <w:szCs w:val="22"/>
          <w:shd w:fill="auto" w:val="clear"/>
        </w:rPr>
        <w:t xml:space="preserve">Poplatek se vypočte jako součet dílčích poplatků za jednotlivé kalendářní měsíce, na jejichž konci </w:t>
      </w:r>
    </w:p>
    <w:p>
      <w:pPr>
        <w:pStyle w:val="Normal"/>
        <w:spacing w:lineRule="auto" w:line="264" w:before="120" w:after="60"/>
        <w:ind w:hanging="0" w:left="567"/>
        <w:jc w:val="both"/>
        <w:rPr>
          <w:highlight w:val="none"/>
          <w:shd w:fill="auto" w:val="clear"/>
        </w:rPr>
      </w:pPr>
      <w:r>
        <w:rPr>
          <w:rFonts w:cs="Arial" w:ascii="Arial" w:hAnsi="Arial"/>
          <w:sz w:val="22"/>
          <w:szCs w:val="22"/>
          <w:shd w:fill="auto" w:val="clear"/>
        </w:rPr>
        <w:t xml:space="preserve">a) měl poplatník v nemovité věci bydliště, nebo </w:t>
      </w:r>
    </w:p>
    <w:p>
      <w:pPr>
        <w:pStyle w:val="Normal"/>
        <w:spacing w:lineRule="auto" w:line="264" w:before="120" w:after="60"/>
        <w:ind w:hanging="0" w:left="567"/>
        <w:jc w:val="both"/>
        <w:rPr>
          <w:highlight w:val="none"/>
          <w:shd w:fill="auto" w:val="clear"/>
        </w:rPr>
      </w:pPr>
      <w:r>
        <w:rPr>
          <w:rFonts w:cs="Arial" w:ascii="Arial" w:hAnsi="Arial"/>
          <w:sz w:val="22"/>
          <w:szCs w:val="22"/>
          <w:shd w:fill="auto" w:val="clear"/>
        </w:rPr>
        <w:t xml:space="preserve">b) neměla v nemovité věci bydliště žádná fyzická osoba v případě, že poplatníkem je vlastník této nemovité věci. </w:t>
      </w:r>
    </w:p>
    <w:p>
      <w:pPr>
        <w:pStyle w:val="Normal"/>
        <w:numPr>
          <w:ilvl w:val="0"/>
          <w:numId w:val="6"/>
        </w:numPr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  <w:shd w:fill="auto" w:val="clear"/>
        </w:rPr>
        <w:t>Dílčí poplatek za kalendářní měsíc se vypočte jako součin základu dílčího poplatku zaokrouhleného na celé litry nah</w:t>
      </w:r>
      <w:r>
        <w:rPr>
          <w:rFonts w:cs="Arial" w:ascii="Arial" w:hAnsi="Arial"/>
          <w:sz w:val="22"/>
          <w:szCs w:val="22"/>
        </w:rPr>
        <w:t xml:space="preserve">oru a sazby pro tento základ. 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8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Splatnost poplatku</w:t>
      </w:r>
    </w:p>
    <w:p>
      <w:pPr>
        <w:pStyle w:val="Normal"/>
        <w:numPr>
          <w:ilvl w:val="0"/>
          <w:numId w:val="7"/>
        </w:numPr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Správce poplatku vyměří poplatek rozhodnutím, poplatek je splatný ve lhůtě 30 dnů ode dne oznámení tohoto rozhodnutí.  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9</w:t>
      </w:r>
    </w:p>
    <w:p>
      <w:pPr>
        <w:pStyle w:val="Nzvylnk"/>
        <w:rPr>
          <w:color w:val="000000"/>
          <w:highlight w:val="none"/>
          <w:shd w:fill="auto" w:val="clear"/>
        </w:rPr>
      </w:pPr>
      <w:r>
        <w:rPr>
          <w:rFonts w:cs="Arial" w:ascii="Arial" w:hAnsi="Arial"/>
          <w:color w:val="000000"/>
          <w:shd w:fill="auto" w:val="clear"/>
        </w:rPr>
        <w:t>Přechodné a zrušovací ustanovení</w:t>
      </w:r>
    </w:p>
    <w:p>
      <w:pPr>
        <w:pStyle w:val="Normal"/>
        <w:widowControl/>
        <w:numPr>
          <w:ilvl w:val="0"/>
          <w:numId w:val="8"/>
        </w:numPr>
        <w:suppressAutoHyphens w:val="true"/>
        <w:bidi w:val="0"/>
        <w:spacing w:lineRule="auto" w:line="264" w:before="120" w:after="0"/>
        <w:ind w:hanging="567" w:left="567" w:right="0"/>
        <w:jc w:val="both"/>
        <w:rPr>
          <w:color w:val="000000"/>
          <w:highlight w:val="none"/>
          <w:shd w:fill="auto" w:val="clear"/>
        </w:rPr>
      </w:pPr>
      <w:r>
        <w:rPr>
          <w:rFonts w:cs="Arial" w:ascii="Arial" w:hAnsi="Arial"/>
          <w:color w:val="000000"/>
          <w:sz w:val="22"/>
          <w:szCs w:val="22"/>
          <w:shd w:fill="auto" w:val="clear"/>
        </w:rPr>
        <w:t>Poplatkové povinnosti vzniklé před nabytím účinnosti této vyhlášky se posuzují podle dosavadních právních předpisů.</w:t>
      </w:r>
    </w:p>
    <w:p>
      <w:pPr>
        <w:pStyle w:val="Normal"/>
        <w:widowControl/>
        <w:numPr>
          <w:ilvl w:val="0"/>
          <w:numId w:val="8"/>
        </w:numPr>
        <w:suppressAutoHyphens w:val="true"/>
        <w:bidi w:val="0"/>
        <w:spacing w:lineRule="auto" w:line="288" w:before="120" w:after="0"/>
        <w:ind w:hanging="567" w:left="567" w:right="0"/>
        <w:jc w:val="both"/>
        <w:rPr>
          <w:color w:val="000000"/>
          <w:highlight w:val="none"/>
          <w:shd w:fill="auto" w:val="clear"/>
        </w:rPr>
      </w:pPr>
      <w:r>
        <w:rPr>
          <w:rFonts w:cs="Arial" w:ascii="Arial" w:hAnsi="Arial"/>
          <w:i w:val="false"/>
          <w:iCs w:val="false"/>
          <w:color w:val="000000"/>
          <w:sz w:val="22"/>
          <w:szCs w:val="22"/>
          <w:shd w:fill="auto" w:val="clear"/>
        </w:rPr>
        <w:t xml:space="preserve">Zrušuje se obecně závazná </w:t>
      </w:r>
      <w:r>
        <w:rPr>
          <w:rFonts w:cs="Arial" w:ascii="Arial" w:hAnsi="Arial"/>
          <w:i w:val="false"/>
          <w:iCs w:val="false"/>
          <w:color w:val="000000"/>
          <w:sz w:val="22"/>
          <w:szCs w:val="22"/>
          <w:shd w:fill="auto" w:val="clear"/>
        </w:rPr>
        <w:t>vyhláška č. 2</w:t>
      </w:r>
      <w:r>
        <w:rPr>
          <w:rFonts w:eastAsia="Times New Roman" w:cs="Arial" w:ascii="Arial" w:hAnsi="Arial"/>
          <w:i w:val="false"/>
          <w:iCs w:val="false"/>
          <w:color w:val="000000"/>
          <w:kern w:val="0"/>
          <w:sz w:val="22"/>
          <w:szCs w:val="22"/>
          <w:shd w:fill="auto" w:val="clear"/>
          <w:lang w:val="cs-CZ" w:eastAsia="cs-CZ" w:bidi="ar-SA"/>
        </w:rPr>
        <w:t>/</w:t>
      </w:r>
      <w:r>
        <w:rPr>
          <w:rFonts w:cs="Arial" w:ascii="Arial" w:hAnsi="Arial"/>
          <w:i w:val="false"/>
          <w:iCs w:val="false"/>
          <w:color w:val="000000"/>
          <w:sz w:val="22"/>
          <w:szCs w:val="22"/>
          <w:shd w:fill="auto" w:val="clear"/>
        </w:rPr>
        <w:t>2024,</w:t>
      </w: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shd w:fill="auto" w:val="clear"/>
        </w:rPr>
        <w:t>o místním poplatku za odkládání komunálního odpadu z nemovité věci</w:t>
      </w:r>
      <w:r>
        <w:rPr>
          <w:rFonts w:cs="Arial" w:ascii="Arial" w:hAnsi="Arial"/>
          <w:i w:val="false"/>
          <w:iCs w:val="false"/>
          <w:color w:val="000000"/>
          <w:sz w:val="22"/>
          <w:szCs w:val="22"/>
          <w:shd w:fill="auto" w:val="clear"/>
        </w:rPr>
        <w:t xml:space="preserve"> ze </w:t>
      </w:r>
      <w:r>
        <w:rPr>
          <w:rFonts w:cs="Arial" w:ascii="Arial" w:hAnsi="Arial"/>
          <w:b w:val="false"/>
          <w:i w:val="false"/>
          <w:iCs w:val="false"/>
          <w:color w:val="000000"/>
          <w:sz w:val="22"/>
          <w:szCs w:val="22"/>
          <w:shd w:fill="auto" w:val="clear"/>
        </w:rPr>
        <w:t>dne 20</w:t>
      </w:r>
      <w:r>
        <w:rPr>
          <w:rFonts w:eastAsia="Times New Roman" w:cs="Arial" w:ascii="Arial" w:hAnsi="Arial"/>
          <w:b w:val="false"/>
          <w:bCs/>
          <w:i w:val="false"/>
          <w:iCs w:val="false"/>
          <w:color w:val="000000"/>
          <w:kern w:val="2"/>
          <w:sz w:val="22"/>
          <w:szCs w:val="22"/>
          <w:shd w:fill="auto" w:val="clear"/>
          <w:lang w:val="cs-CZ" w:eastAsia="cs-CZ" w:bidi="ar-SA"/>
        </w:rPr>
        <w:t>.11.2024.</w:t>
      </w:r>
    </w:p>
    <w:p>
      <w:pPr>
        <w:pStyle w:val="slalnk"/>
        <w:spacing w:before="480" w:after="60"/>
        <w:rPr>
          <w:color w:val="000000"/>
          <w:highlight w:val="none"/>
          <w:shd w:fill="auto" w:val="clear"/>
        </w:rPr>
      </w:pPr>
      <w:r>
        <w:rPr>
          <w:rFonts w:cs="Arial" w:ascii="Arial" w:hAnsi="Arial"/>
          <w:color w:val="000000"/>
          <w:shd w:fill="auto" w:val="clear"/>
        </w:rPr>
        <w:t>Čl. 13</w:t>
      </w:r>
    </w:p>
    <w:p>
      <w:pPr>
        <w:pStyle w:val="Nzvylnk"/>
        <w:rPr>
          <w:color w:val="000000"/>
          <w:highlight w:val="none"/>
          <w:shd w:fill="auto" w:val="clear"/>
        </w:rPr>
      </w:pPr>
      <w:r>
        <w:rPr>
          <w:rFonts w:cs="Arial" w:ascii="Arial" w:hAnsi="Arial"/>
          <w:color w:val="000000"/>
          <w:shd w:fill="auto" w:val="clear"/>
        </w:rPr>
        <w:t>Účinnost</w:t>
      </w:r>
    </w:p>
    <w:p>
      <w:pPr>
        <w:pStyle w:val="Normal"/>
        <w:spacing w:lineRule="auto" w:line="288" w:before="120" w:after="0"/>
        <w:ind w:firstLine="708"/>
        <w:jc w:val="both"/>
        <w:rPr>
          <w:color w:val="000000"/>
          <w:highlight w:val="none"/>
          <w:shd w:fill="auto" w:val="clear"/>
        </w:rPr>
      </w:pPr>
      <w:r>
        <w:rPr>
          <w:rFonts w:cs="Arial" w:ascii="Arial" w:hAnsi="Arial"/>
          <w:color w:val="000000"/>
          <w:sz w:val="22"/>
          <w:szCs w:val="22"/>
          <w:shd w:fill="auto" w:val="clear"/>
        </w:rPr>
        <w:t>Tato vyhláška nabývá účinnosti d</w:t>
      </w:r>
      <w:r>
        <w:rPr>
          <w:rFonts w:cs="Arial" w:ascii="Arial" w:hAnsi="Arial"/>
          <w:color w:val="000000"/>
          <w:sz w:val="22"/>
          <w:szCs w:val="22"/>
          <w:shd w:fill="auto" w:val="clear"/>
        </w:rPr>
        <w:t xml:space="preserve">nem 01.01.2026. </w:t>
      </w:r>
    </w:p>
    <w:p>
      <w:pPr>
        <w:pStyle w:val="Nzvylnk"/>
        <w:jc w:val="left"/>
        <w:rPr>
          <w:rFonts w:ascii="Arial" w:hAnsi="Arial" w:cs="Arial"/>
          <w:b w:val="false"/>
          <w:bCs w:val="false"/>
          <w:i/>
          <w:i/>
          <w:color w:val="000000"/>
          <w:szCs w:val="24"/>
          <w:highlight w:val="none"/>
          <w:shd w:fill="auto" w:val="clear"/>
        </w:rPr>
      </w:pPr>
      <w:r>
        <w:rPr>
          <w:rFonts w:cs="Arial" w:ascii="Arial" w:hAnsi="Arial"/>
          <w:b w:val="false"/>
          <w:bCs w:val="false"/>
          <w:i/>
          <w:color w:val="000000"/>
          <w:szCs w:val="24"/>
          <w:shd w:fill="auto" w:val="clear"/>
        </w:rPr>
      </w:r>
    </w:p>
    <w:p>
      <w:pPr>
        <w:pStyle w:val="Nzvylnk"/>
        <w:jc w:val="left"/>
        <w:rPr>
          <w:rFonts w:ascii="Arial" w:hAnsi="Arial" w:cs="Arial"/>
          <w:b w:val="false"/>
          <w:bCs w:val="false"/>
          <w:i/>
          <w:i/>
          <w:color w:val="1A4BD6"/>
          <w:szCs w:val="24"/>
        </w:rPr>
      </w:pPr>
      <w:r>
        <w:rPr>
          <w:rFonts w:cs="Arial" w:ascii="Arial" w:hAnsi="Arial"/>
          <w:b w:val="false"/>
          <w:bCs w:val="false"/>
          <w:i/>
          <w:color w:val="1A4BD6"/>
          <w:szCs w:val="24"/>
        </w:rPr>
      </w:r>
    </w:p>
    <w:p>
      <w:pPr>
        <w:pStyle w:val="Nzvylnk"/>
        <w:jc w:val="left"/>
        <w:rPr>
          <w:rFonts w:ascii="Arial" w:hAnsi="Arial" w:cs="Arial"/>
          <w:b w:val="false"/>
          <w:bCs w:val="false"/>
          <w:i/>
          <w:i/>
          <w:color w:val="1A4BD6"/>
          <w:szCs w:val="24"/>
        </w:rPr>
      </w:pPr>
      <w:r>
        <w:rPr>
          <w:rFonts w:cs="Arial" w:ascii="Arial" w:hAnsi="Arial"/>
          <w:b w:val="false"/>
          <w:bCs w:val="false"/>
          <w:i/>
          <w:color w:val="1A4BD6"/>
          <w:szCs w:val="24"/>
        </w:rPr>
      </w:r>
    </w:p>
    <w:p>
      <w:pPr>
        <w:pStyle w:val="BodyText"/>
        <w:tabs>
          <w:tab w:val="clear" w:pos="708"/>
          <w:tab w:val="left" w:pos="-6120" w:leader="none"/>
          <w:tab w:val="center" w:pos="2340" w:leader="none"/>
          <w:tab w:val="center" w:pos="6840" w:leader="none"/>
        </w:tabs>
        <w:spacing w:before="1000" w:after="0"/>
        <w:rPr/>
      </w:pPr>
      <w:r>
        <w:rPr/>
        <w:tab/>
        <w:t>……………………….</w:t>
        <w:tab/>
        <w:t>…………………………..</w:t>
      </w:r>
    </w:p>
    <w:p>
      <w:pPr>
        <w:pStyle w:val="Normal"/>
        <w:tabs>
          <w:tab w:val="clear" w:pos="708"/>
          <w:tab w:val="center" w:pos="2268" w:leader="none"/>
          <w:tab w:val="center" w:pos="6804" w:leader="none"/>
        </w:tabs>
        <w:jc w:val="both"/>
        <w:rPr/>
      </w:pPr>
      <w:r>
        <w:rPr/>
        <w:tab/>
        <w:t>Pavel Zámečník, místostarosta v. r.</w:t>
        <w:tab/>
        <w:t>Jaroslav Fabian, starosta v. r.</w:t>
      </w:r>
    </w:p>
    <w:p>
      <w:pPr>
        <w:pStyle w:val="BodyText"/>
        <w:tabs>
          <w:tab w:val="clear" w:pos="708"/>
          <w:tab w:val="left" w:pos="-6120" w:leader="none"/>
          <w:tab w:val="center" w:pos="2340" w:leader="none"/>
          <w:tab w:val="center" w:pos="6840" w:leader="none"/>
        </w:tabs>
        <w:spacing w:before="1000" w:after="0"/>
        <w:rPr/>
      </w:pPr>
      <w:r>
        <w:rPr/>
        <w:tab/>
        <w:t>……………………….</w:t>
        <w:tab/>
      </w:r>
    </w:p>
    <w:p>
      <w:pPr>
        <w:pStyle w:val="Normal"/>
        <w:tabs>
          <w:tab w:val="clear" w:pos="708"/>
          <w:tab w:val="center" w:pos="2268" w:leader="none"/>
          <w:tab w:val="center" w:pos="6804" w:leader="none"/>
        </w:tabs>
        <w:rPr/>
      </w:pPr>
      <w:r>
        <w:rPr/>
        <w:tab/>
        <w:t>Pavel Hojer, místostarosta v. r.</w:t>
        <w:tab/>
      </w:r>
    </w:p>
    <w:p>
      <w:pPr>
        <w:pStyle w:val="Nzvylnk"/>
        <w:jc w:val="left"/>
        <w:rPr>
          <w:rFonts w:ascii="Arial" w:hAnsi="Arial" w:cs="Arial"/>
          <w:b w:val="false"/>
          <w:bCs w:val="false"/>
          <w:i/>
          <w:i/>
          <w:color w:val="1A4BD6"/>
          <w:szCs w:val="24"/>
        </w:rPr>
      </w:pPr>
      <w:r>
        <w:rPr>
          <w:rFonts w:cs="Arial" w:ascii="Arial" w:hAnsi="Arial"/>
          <w:b w:val="false"/>
          <w:bCs w:val="false"/>
          <w:i/>
          <w:color w:val="1A4BD6"/>
          <w:szCs w:val="24"/>
        </w:rPr>
      </w:r>
    </w:p>
    <w:p>
      <w:pPr>
        <w:pStyle w:val="Normal"/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708"/>
          <w:tab w:val="left" w:pos="1440" w:leader="none"/>
          <w:tab w:val="left" w:pos="7020" w:leader="none"/>
        </w:tabs>
        <w:spacing w:lineRule="auto" w:line="264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ab/>
      </w:r>
    </w:p>
    <w:sectPr>
      <w:footerReference w:type="even" r:id="rId2"/>
      <w:footerReference w:type="default" r:id="rId3"/>
      <w:footerReference w:type="first" r:id="rId4"/>
      <w:footnotePr>
        <w:numFmt w:val="decimal"/>
      </w:footnotePr>
      <w:type w:val="nextPage"/>
      <w:pgSz w:w="11906" w:h="16838"/>
      <w:pgMar w:left="1417" w:right="1417" w:gutter="0" w:header="0" w:top="993" w:footer="708" w:bottom="99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Arial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Liberation Sans">
    <w:altName w:val="Arial"/>
    <w:charset w:val="ee"/>
    <w:family w:val="roman"/>
    <w:pitch w:val="variable"/>
  </w:font>
  <w:font w:name="Cambria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  <w:p>
    <w:pPr>
      <w:pStyle w:val="Footer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</w:rPr>
        <w:t xml:space="preserve"> </w:t>
      </w:r>
      <w:r>
        <w:rPr>
          <w:rFonts w:cs="Arial" w:ascii="Arial" w:hAnsi="Arial"/>
          <w:sz w:val="18"/>
          <w:szCs w:val="18"/>
        </w:rPr>
        <w:t>§ 15 odst. 1 zákona, o místních poplatcích</w:t>
      </w:r>
    </w:p>
  </w:footnote>
  <w:footnote w:id="3">
    <w:p>
      <w:pPr>
        <w:pStyle w:val="FootnoteText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Style w:val="FootnoteCharacters"/>
          <w:position w:val="0"/>
          <w:sz w:val="20"/>
          <w:sz w:val="20"/>
          <w:vertAlign w:val="baseline"/>
        </w:rPr>
        <w:t>§</w:t>
      </w:r>
      <w:r>
        <w:rPr>
          <w:rFonts w:cs="Arial" w:ascii="Arial" w:hAnsi="Arial"/>
          <w:sz w:val="18"/>
          <w:szCs w:val="18"/>
        </w:rPr>
        <w:t xml:space="preserve"> 10j zákona o místních poplatcích</w:t>
      </w:r>
    </w:p>
  </w:footnote>
  <w:footnote w:id="4">
    <w:p>
      <w:pPr>
        <w:pStyle w:val="FootnoteText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</w:rPr>
        <w:t xml:space="preserve"> </w:t>
      </w:r>
      <w:r>
        <w:rPr>
          <w:rStyle w:val="FootnoteCharacters"/>
          <w:position w:val="0"/>
          <w:sz w:val="20"/>
          <w:sz w:val="20"/>
          <w:vertAlign w:val="baseline"/>
        </w:rPr>
        <w:t>§</w:t>
      </w:r>
      <w:r>
        <w:rPr>
          <w:rFonts w:cs="Arial" w:ascii="Arial" w:hAnsi="Arial"/>
          <w:sz w:val="18"/>
          <w:szCs w:val="18"/>
        </w:rPr>
        <w:t xml:space="preserve"> 10i zákona o místních poplatcích</w:t>
      </w:r>
    </w:p>
  </w:footnote>
  <w:footnote w:id="5">
    <w:p>
      <w:pPr>
        <w:pStyle w:val="FootnoteText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/>
        <w:t xml:space="preserve">§ </w:t>
      </w:r>
      <w:r>
        <w:rPr>
          <w:rFonts w:cs="Arial" w:ascii="Arial" w:hAnsi="Arial"/>
          <w:sz w:val="18"/>
          <w:szCs w:val="18"/>
        </w:rPr>
        <w:t>10n odst. 1  zákona o místních poplatcích</w:t>
      </w:r>
    </w:p>
  </w:footnote>
  <w:footnote w:id="6">
    <w:p>
      <w:pPr>
        <w:pStyle w:val="FootnoteText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/>
        <w:t xml:space="preserve">§ </w:t>
      </w:r>
      <w:r>
        <w:rPr>
          <w:rFonts w:cs="Arial" w:ascii="Arial" w:hAnsi="Arial"/>
          <w:sz w:val="18"/>
          <w:szCs w:val="18"/>
        </w:rPr>
        <w:t>10n odst. 2  zákona o místních poplatcích</w:t>
      </w:r>
    </w:p>
  </w:footnote>
  <w:footnote w:id="7">
    <w:p>
      <w:pPr>
        <w:pStyle w:val="FootnoteText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Style w:val="FootnoteCharacters"/>
          <w:position w:val="0"/>
          <w:sz w:val="20"/>
          <w:sz w:val="20"/>
          <w:vertAlign w:val="baseline"/>
        </w:rPr>
        <w:t>§</w:t>
      </w:r>
      <w:r>
        <w:rPr>
          <w:rFonts w:cs="Arial" w:ascii="Arial" w:hAnsi="Arial"/>
          <w:sz w:val="18"/>
          <w:szCs w:val="18"/>
        </w:rPr>
        <w:t xml:space="preserve"> 10p zákona o místních poplatcích</w:t>
      </w:r>
    </w:p>
  </w:footnote>
  <w:footnote w:id="8">
    <w:p>
      <w:pPr>
        <w:pStyle w:val="FootnoteText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10o odst. 1 zákona o místních poplatcích</w:t>
      </w:r>
    </w:p>
  </w:footnote>
  <w:footnote w:id="9">
    <w:p>
      <w:pPr>
        <w:pStyle w:val="FootnoteText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4 zákona o místních poplatcích</w:t>
      </w:r>
    </w:p>
  </w:footnote>
  <w:footnote w:id="10">
    <w:p>
      <w:pPr>
        <w:pStyle w:val="FootnoteText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>
      <w:pPr>
        <w:pStyle w:val="FootnoteText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/>
        <w:t xml:space="preserve">§ </w:t>
      </w:r>
      <w:r>
        <w:rPr>
          <w:rFonts w:cs="Arial" w:ascii="Arial" w:hAnsi="Arial"/>
          <w:sz w:val="18"/>
          <w:szCs w:val="18"/>
        </w:rPr>
        <w:t>10k ve spojení s § 10o odst. 2 zákona o místních poplatcích</w:t>
      </w:r>
    </w:p>
  </w:footnote>
  <w:footnote w:id="12">
    <w:p>
      <w:pPr>
        <w:pStyle w:val="FootnoteText"/>
        <w:rPr/>
      </w:pPr>
      <w:r>
        <w:rPr>
          <w:rStyle w:val="Znakypropoznmkupodarou"/>
        </w:rPr>
        <w:footnoteRef/>
      </w:r>
      <w:r>
        <w:rPr/>
        <w:t xml:space="preserve">  </w:t>
      </w:r>
      <w:r>
        <w:rPr/>
        <w:t xml:space="preserve">§ </w:t>
      </w:r>
      <w:r>
        <w:rPr>
          <w:rFonts w:cs="Arial" w:ascii="Arial" w:hAnsi="Arial"/>
          <w:sz w:val="18"/>
          <w:szCs w:val="18"/>
        </w:rPr>
        <w:t>10m ve spojení s § 10o odst. 2 zákona o 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2007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  <w:rPr/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8">
    <w:lvl w:ilvl="0">
      <w:start w:val="1"/>
      <w:numFmt w:val="decimal"/>
      <w:lvlText w:val="(%1)"/>
      <w:lvlJc w:val="left"/>
      <w:pPr>
        <w:tabs>
          <w:tab w:val="num" w:pos="1287"/>
        </w:tabs>
        <w:ind w:left="1287" w:hanging="360"/>
      </w:pPr>
      <w:rPr>
        <w:sz w:val="20"/>
        <w:b w:val="false"/>
        <w:szCs w:val="20"/>
        <w:bCs w:val="false"/>
        <w:rFonts w:ascii="Arial" w:hAnsi="Arial"/>
      </w:rPr>
    </w:lvl>
    <w:lvl w:ilvl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  <w:rPr>
        <w:sz w:val="20"/>
        <w:b w:val="false"/>
        <w:szCs w:val="20"/>
        <w:bCs w:val="false"/>
        <w:rFonts w:ascii="Arial" w:hAnsi="Arial"/>
      </w:rPr>
    </w:lvl>
    <w:lvl w:ilvl="2">
      <w:start w:val="1"/>
      <w:numFmt w:val="decimal"/>
      <w:lvlText w:val="%3."/>
      <w:lvlJc w:val="left"/>
      <w:pPr>
        <w:tabs>
          <w:tab w:val="num" w:pos="2007"/>
        </w:tabs>
        <w:ind w:left="2007" w:hanging="360"/>
      </w:pPr>
      <w:rPr>
        <w:sz w:val="20"/>
        <w:b w:val="false"/>
        <w:szCs w:val="20"/>
        <w:bCs w:val="false"/>
        <w:rFonts w:ascii="Arial" w:hAnsi="Arial"/>
      </w:rPr>
    </w:lvl>
    <w:lvl w:ilvl="3">
      <w:start w:val="1"/>
      <w:numFmt w:val="decimal"/>
      <w:lvlText w:val="%4."/>
      <w:lvlJc w:val="left"/>
      <w:pPr>
        <w:tabs>
          <w:tab w:val="num" w:pos="2367"/>
        </w:tabs>
        <w:ind w:left="2367" w:hanging="360"/>
      </w:pPr>
      <w:rPr>
        <w:sz w:val="20"/>
        <w:b w:val="false"/>
        <w:szCs w:val="20"/>
        <w:bCs w:val="false"/>
        <w:rFonts w:ascii="Arial" w:hAnsi="Arial"/>
      </w:rPr>
    </w:lvl>
    <w:lvl w:ilvl="4">
      <w:start w:val="1"/>
      <w:numFmt w:val="decimal"/>
      <w:lvlText w:val="%5."/>
      <w:lvlJc w:val="left"/>
      <w:pPr>
        <w:tabs>
          <w:tab w:val="num" w:pos="2727"/>
        </w:tabs>
        <w:ind w:left="2727" w:hanging="360"/>
      </w:pPr>
      <w:rPr>
        <w:sz w:val="20"/>
        <w:b w:val="false"/>
        <w:szCs w:val="20"/>
        <w:bCs w:val="false"/>
        <w:rFonts w:ascii="Arial" w:hAnsi="Arial"/>
      </w:rPr>
    </w:lvl>
    <w:lvl w:ilvl="5">
      <w:start w:val="1"/>
      <w:numFmt w:val="decimal"/>
      <w:lvlText w:val="%6."/>
      <w:lvlJc w:val="left"/>
      <w:pPr>
        <w:tabs>
          <w:tab w:val="num" w:pos="3087"/>
        </w:tabs>
        <w:ind w:left="3087" w:hanging="360"/>
      </w:pPr>
      <w:rPr>
        <w:sz w:val="20"/>
        <w:b w:val="false"/>
        <w:szCs w:val="20"/>
        <w:bCs w:val="false"/>
        <w:rFonts w:ascii="Arial" w:hAnsi="Arial"/>
      </w:rPr>
    </w:lvl>
    <w:lvl w:ilvl="6">
      <w:start w:val="1"/>
      <w:numFmt w:val="decimal"/>
      <w:lvlText w:val="%7."/>
      <w:lvlJc w:val="left"/>
      <w:pPr>
        <w:tabs>
          <w:tab w:val="num" w:pos="3447"/>
        </w:tabs>
        <w:ind w:left="3447" w:hanging="360"/>
      </w:pPr>
      <w:rPr>
        <w:sz w:val="20"/>
        <w:b w:val="false"/>
        <w:szCs w:val="20"/>
        <w:bCs w:val="false"/>
        <w:rFonts w:ascii="Arial" w:hAnsi="Arial"/>
      </w:rPr>
    </w:lvl>
    <w:lvl w:ilvl="7">
      <w:start w:val="1"/>
      <w:numFmt w:val="decimal"/>
      <w:lvlText w:val="%8."/>
      <w:lvlJc w:val="left"/>
      <w:pPr>
        <w:tabs>
          <w:tab w:val="num" w:pos="3807"/>
        </w:tabs>
        <w:ind w:left="3807" w:hanging="360"/>
      </w:pPr>
      <w:rPr>
        <w:sz w:val="20"/>
        <w:b w:val="false"/>
        <w:szCs w:val="20"/>
        <w:bCs w:val="false"/>
        <w:rFonts w:ascii="Arial" w:hAnsi="Arial"/>
      </w:rPr>
    </w:lvl>
    <w:lvl w:ilvl="8">
      <w:start w:val="1"/>
      <w:numFmt w:val="decimal"/>
      <w:lvlText w:val="%9."/>
      <w:lvlJc w:val="left"/>
      <w:pPr>
        <w:tabs>
          <w:tab w:val="num" w:pos="4167"/>
        </w:tabs>
        <w:ind w:left="4167" w:hanging="360"/>
      </w:pPr>
      <w:rPr>
        <w:sz w:val="20"/>
        <w:b w:val="false"/>
        <w:szCs w:val="20"/>
        <w:bCs w:val="false"/>
        <w:rFonts w:ascii="Arial" w:hAnsi="Arial"/>
      </w:rPr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footnotePr>
    <w:numFmt w:val="decimal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3116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Heading2">
    <w:name w:val="heading 2"/>
    <w:basedOn w:val="Normal"/>
    <w:next w:val="Normal"/>
    <w:link w:val="Nadpis2Char"/>
    <w:qFormat/>
    <w:rsid w:val="00131160"/>
    <w:pPr>
      <w:keepNext w:val="true"/>
      <w:jc w:val="both"/>
      <w:outlineLvl w:val="1"/>
    </w:pPr>
    <w:rPr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2Char" w:customStyle="1">
    <w:name w:val="Nadpis 2 Char"/>
    <w:semiHidden/>
    <w:qFormat/>
    <w:rsid w:val="00131160"/>
    <w:rPr>
      <w:sz w:val="24"/>
      <w:szCs w:val="24"/>
      <w:u w:val="single"/>
      <w:lang w:val="cs-CZ" w:eastAsia="cs-CZ" w:bidi="ar-SA"/>
    </w:rPr>
  </w:style>
  <w:style w:type="character" w:styleId="ZkladntextodsazenChar" w:customStyle="1">
    <w:name w:val="Základní text odsazený Char"/>
    <w:semiHidden/>
    <w:qFormat/>
    <w:rsid w:val="00131160"/>
    <w:rPr>
      <w:sz w:val="24"/>
      <w:szCs w:val="24"/>
      <w:lang w:val="cs-CZ" w:eastAsia="cs-CZ" w:bidi="ar-SA"/>
    </w:rPr>
  </w:style>
  <w:style w:type="character" w:styleId="ZhlavChar" w:customStyle="1">
    <w:name w:val="Záhlaví Char"/>
    <w:semiHidden/>
    <w:qFormat/>
    <w:rsid w:val="00131160"/>
    <w:rPr>
      <w:sz w:val="24"/>
      <w:szCs w:val="24"/>
      <w:lang w:val="cs-CZ" w:eastAsia="cs-CZ" w:bidi="ar-SA"/>
    </w:rPr>
  </w:style>
  <w:style w:type="character" w:styleId="ZkladntextChar" w:customStyle="1">
    <w:name w:val="Základní text Char"/>
    <w:semiHidden/>
    <w:qFormat/>
    <w:rsid w:val="00131160"/>
    <w:rPr>
      <w:sz w:val="24"/>
      <w:szCs w:val="24"/>
      <w:lang w:val="cs-CZ" w:eastAsia="cs-CZ" w:bidi="ar-SA"/>
    </w:rPr>
  </w:style>
  <w:style w:type="character" w:styleId="TextpoznpodarouChar" w:customStyle="1">
    <w:name w:val="Text pozn. pod čarou Char"/>
    <w:semiHidden/>
    <w:qFormat/>
    <w:rsid w:val="00131160"/>
    <w:rPr>
      <w:lang w:val="cs-CZ" w:eastAsia="cs-CZ" w:bidi="ar-SA"/>
    </w:rPr>
  </w:style>
  <w:style w:type="character" w:styleId="Znakypropoznmkupodarouuser">
    <w:name w:val="Znaky pro poznámku pod čarou (user)"/>
    <w:qFormat/>
    <w:rPr>
      <w:vertAlign w:val="superscript"/>
    </w:rPr>
  </w:style>
  <w:style w:type="character" w:styleId="Znakypropoznmkupodarou">
    <w:name w:val="Znaky pro poznámku pod čarou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semiHidden/>
    <w:qFormat/>
    <w:rsid w:val="00131160"/>
    <w:rPr>
      <w:vertAlign w:val="superscript"/>
    </w:rPr>
  </w:style>
  <w:style w:type="character" w:styleId="ZpatChar" w:customStyle="1">
    <w:name w:val="Zápatí Char"/>
    <w:uiPriority w:val="99"/>
    <w:qFormat/>
    <w:rsid w:val="00b10e4f"/>
    <w:rPr>
      <w:sz w:val="24"/>
      <w:szCs w:val="24"/>
    </w:rPr>
  </w:style>
  <w:style w:type="character" w:styleId="CommentReference">
    <w:name w:val="annotation reference"/>
    <w:qFormat/>
    <w:rsid w:val="004f3772"/>
    <w:rPr>
      <w:sz w:val="16"/>
      <w:szCs w:val="16"/>
    </w:rPr>
  </w:style>
  <w:style w:type="character" w:styleId="TextkomenteChar" w:customStyle="1">
    <w:name w:val="Text komentáře Char"/>
    <w:basedOn w:val="DefaultParagraphFont"/>
    <w:qFormat/>
    <w:rsid w:val="004f3772"/>
    <w:rPr/>
  </w:style>
  <w:style w:type="character" w:styleId="PedmtkomenteChar" w:customStyle="1">
    <w:name w:val="Předmět komentáře Char"/>
    <w:qFormat/>
    <w:rsid w:val="004f3772"/>
    <w:rPr>
      <w:b/>
      <w:bCs/>
    </w:rPr>
  </w:style>
  <w:style w:type="character" w:styleId="TextbublinyChar" w:customStyle="1">
    <w:name w:val="Text bubliny Char"/>
    <w:qFormat/>
    <w:rsid w:val="004f3772"/>
    <w:rPr>
      <w:rFonts w:ascii="Segoe UI" w:hAnsi="Segoe UI" w:cs="Segoe UI"/>
      <w:sz w:val="18"/>
      <w:szCs w:val="18"/>
    </w:rPr>
  </w:style>
  <w:style w:type="character" w:styleId="Znakyprovysvtlivkyuser">
    <w:name w:val="Znaky pro vysvětlivky (user)"/>
    <w:qFormat/>
    <w:rPr>
      <w:vertAlign w:val="superscript"/>
    </w:rPr>
  </w:style>
  <w:style w:type="character" w:styleId="Znakyprovysvtlivky">
    <w:name w:val="Znaky pro vysvětlivky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Symbolyproslovnuser">
    <w:name w:val="Symboly pro číslování (user)"/>
    <w:qFormat/>
    <w:rPr>
      <w:rFonts w:ascii="Arial" w:hAnsi="Arial"/>
      <w:b w:val="false"/>
      <w:bCs w:val="false"/>
      <w:sz w:val="20"/>
      <w:szCs w:val="20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ZkladntextChar"/>
    <w:rsid w:val="00131160"/>
    <w:pPr>
      <w:spacing w:before="0" w:after="12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Nadpisuser">
    <w:name w:val="Nadpis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Rejstkuser">
    <w:name w:val="Rejstřík (user)"/>
    <w:basedOn w:val="Normal"/>
    <w:qFormat/>
    <w:pPr>
      <w:suppressLineNumbers/>
    </w:pPr>
    <w:rPr>
      <w:rFonts w:cs="Lucida Sans"/>
    </w:rPr>
  </w:style>
  <w:style w:type="paragraph" w:styleId="BodyTextIndent">
    <w:name w:val="Body Text Indent"/>
    <w:basedOn w:val="Normal"/>
    <w:link w:val="ZkladntextodsazenChar"/>
    <w:rsid w:val="00131160"/>
    <w:pPr>
      <w:ind w:firstLine="357" w:left="708"/>
      <w:jc w:val="both"/>
    </w:pPr>
    <w:rPr/>
  </w:style>
  <w:style w:type="paragraph" w:styleId="Zhlavazpatuser">
    <w:name w:val="Záhlaví a zápatí (user)"/>
    <w:basedOn w:val="Normal"/>
    <w:qFormat/>
    <w:pPr/>
    <w:rPr/>
  </w:style>
  <w:style w:type="paragraph" w:styleId="Zhlavazpat">
    <w:name w:val="Záhlaví a zápatí"/>
    <w:basedOn w:val="Normal"/>
    <w:qFormat/>
    <w:pPr/>
    <w:rPr/>
  </w:style>
  <w:style w:type="paragraph" w:styleId="Header">
    <w:name w:val="header"/>
    <w:basedOn w:val="Normal"/>
    <w:link w:val="ZhlavChar"/>
    <w:rsid w:val="00131160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noteText">
    <w:name w:val="footnote text"/>
    <w:basedOn w:val="Normal"/>
    <w:link w:val="TextpoznpodarouChar"/>
    <w:semiHidden/>
    <w:rsid w:val="00131160"/>
    <w:pPr/>
    <w:rPr>
      <w:sz w:val="20"/>
      <w:szCs w:val="20"/>
    </w:rPr>
  </w:style>
  <w:style w:type="paragraph" w:styleId="nzevzkona" w:customStyle="1">
    <w:name w:val="název zákona"/>
    <w:basedOn w:val="Title"/>
    <w:qFormat/>
    <w:rsid w:val="00131160"/>
    <w:pPr/>
    <w:rPr>
      <w:rFonts w:ascii="Cambria" w:hAnsi="Cambria" w:cs="Cambria"/>
    </w:rPr>
  </w:style>
  <w:style w:type="paragraph" w:styleId="Title">
    <w:name w:val="Title"/>
    <w:basedOn w:val="Normal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slalnk" w:customStyle="1">
    <w:name w:val="Čísla článků"/>
    <w:basedOn w:val="Normal"/>
    <w:qFormat/>
    <w:rsid w:val="00131160"/>
    <w:pPr>
      <w:keepNext w:val="true"/>
      <w:keepLines/>
      <w:spacing w:before="360" w:after="60"/>
      <w:jc w:val="center"/>
    </w:pPr>
    <w:rPr>
      <w:b/>
      <w:bCs/>
      <w:szCs w:val="20"/>
    </w:rPr>
  </w:style>
  <w:style w:type="paragraph" w:styleId="Nzvylnk" w:customStyle="1">
    <w:name w:val="Názvy článků"/>
    <w:basedOn w:val="slalnk"/>
    <w:qFormat/>
    <w:rsid w:val="00131160"/>
    <w:pPr>
      <w:spacing w:before="60" w:after="160"/>
    </w:pPr>
    <w:rPr/>
  </w:style>
  <w:style w:type="paragraph" w:styleId="Oddstavcevlncch" w:customStyle="1">
    <w:name w:val="Oddstavce v článcích"/>
    <w:basedOn w:val="Normal"/>
    <w:next w:val="Normal"/>
    <w:qFormat/>
    <w:rsid w:val="00131160"/>
    <w:pPr>
      <w:keepLines/>
      <w:numPr>
        <w:ilvl w:val="0"/>
        <w:numId w:val="2"/>
      </w:numPr>
      <w:spacing w:before="0" w:after="60"/>
      <w:jc w:val="both"/>
    </w:pPr>
    <w:rPr/>
  </w:style>
  <w:style w:type="paragraph" w:styleId="Footer">
    <w:name w:val="footer"/>
    <w:basedOn w:val="Normal"/>
    <w:link w:val="ZpatChar"/>
    <w:uiPriority w:val="99"/>
    <w:rsid w:val="00b10e4f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NormlnIMP" w:customStyle="1">
    <w:name w:val="Normální_IMP"/>
    <w:basedOn w:val="Normal"/>
    <w:qFormat/>
    <w:rsid w:val="00c67504"/>
    <w:pPr>
      <w:suppressAutoHyphens w:val="true"/>
      <w:overflowPunct w:val="true"/>
      <w:spacing w:lineRule="auto" w:line="228"/>
      <w:jc w:val="both"/>
      <w:textAlignment w:val="baseline"/>
    </w:pPr>
    <w:rPr>
      <w:szCs w:val="20"/>
    </w:rPr>
  </w:style>
  <w:style w:type="paragraph" w:styleId="Default" w:customStyle="1">
    <w:name w:val="Default"/>
    <w:qFormat/>
    <w:rsid w:val="00650483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000000"/>
      <w:kern w:val="0"/>
      <w:sz w:val="24"/>
      <w:szCs w:val="24"/>
      <w:lang w:val="cs-CZ" w:eastAsia="cs-CZ" w:bidi="ar-SA"/>
    </w:rPr>
  </w:style>
  <w:style w:type="paragraph" w:styleId="CommentText">
    <w:name w:val="annotation text"/>
    <w:basedOn w:val="Normal"/>
    <w:link w:val="TextkomenteChar"/>
    <w:qFormat/>
    <w:rsid w:val="004f3772"/>
    <w:pPr/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PedmtkomenteChar"/>
    <w:qFormat/>
    <w:rsid w:val="004f3772"/>
    <w:pPr/>
    <w:rPr>
      <w:b/>
      <w:bCs/>
    </w:rPr>
  </w:style>
  <w:style w:type="paragraph" w:styleId="BalloonText">
    <w:name w:val="Balloon Text"/>
    <w:basedOn w:val="Normal"/>
    <w:link w:val="TextbublinyChar"/>
    <w:qFormat/>
    <w:rsid w:val="004f3772"/>
    <w:pPr/>
    <w:rPr>
      <w:rFonts w:ascii="Segoe UI" w:hAnsi="Segoe UI" w:cs="Segoe UI"/>
      <w:sz w:val="18"/>
      <w:szCs w:val="18"/>
    </w:rPr>
  </w:style>
  <w:style w:type="paragraph" w:styleId="Revision">
    <w:name w:val="Revision"/>
    <w:uiPriority w:val="99"/>
    <w:semiHidden/>
    <w:qFormat/>
    <w:rsid w:val="00683897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numbering" w:styleId="Bezseznamu" w:default="1">
    <w:name w:val="Bez seznamu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notes" Target="footnotes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FD0DC-7744-4239-8A72-1DEF8C974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Application>LibreOffice/25.8.3.2$Windows_X86_64 LibreOffice_project/8ca8d55c161d602844f5428fa4b58097424e324e</Application>
  <AppVersion>15.0000</AppVersion>
  <Pages>3</Pages>
  <Words>669</Words>
  <Characters>3651</Characters>
  <CharactersWithSpaces>4275</CharactersWithSpaces>
  <Paragraphs>71</Paragraphs>
  <Company>Ministerstvo financí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2020-12-11T10:07:00Z</dcterms:created>
  <dc:creator>Mgr. Lukáš Toman</dc:creator>
  <dc:description/>
  <dc:language>cs-CZ</dc:language>
  <cp:lastModifiedBy/>
  <cp:lastPrinted>2015-10-16T08:54:00Z</cp:lastPrinted>
  <dcterms:modified xsi:type="dcterms:W3CDTF">2025-12-01T10:18:30Z</dcterms:modified>
  <cp:revision>25</cp:revision>
  <dc:subject/>
  <dc:title>Metodický materiál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