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8127" w14:textId="36671806" w:rsidR="00500F3F" w:rsidRDefault="00B373D4" w:rsidP="00C51428">
      <w:pPr>
        <w:pStyle w:val="Zkladntext"/>
        <w:jc w:val="center"/>
        <w:rPr>
          <w:rFonts w:ascii="Times New Roman" w:eastAsia="Batang" w:hAnsi="Times New Roman" w:cs="Times New Roman"/>
          <w:b/>
          <w:bCs/>
          <w:sz w:val="32"/>
          <w:szCs w:val="32"/>
        </w:rPr>
      </w:pPr>
      <w:r>
        <w:rPr>
          <w:rFonts w:ascii="Times New Roman" w:eastAsia="Batang" w:hAnsi="Times New Roman" w:cs="Times New Roman"/>
          <w:b/>
          <w:bCs/>
          <w:noProof/>
          <w:sz w:val="32"/>
          <w:szCs w:val="32"/>
        </w:rPr>
        <w:drawing>
          <wp:inline distT="0" distB="0" distL="0" distR="0" wp14:anchorId="3078FA81" wp14:editId="7EF5CA84">
            <wp:extent cx="876300" cy="1047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047750"/>
                    </a:xfrm>
                    <a:prstGeom prst="rect">
                      <a:avLst/>
                    </a:prstGeom>
                    <a:noFill/>
                  </pic:spPr>
                </pic:pic>
              </a:graphicData>
            </a:graphic>
          </wp:inline>
        </w:drawing>
      </w:r>
    </w:p>
    <w:p w14:paraId="6F8FA2A3" w14:textId="77777777" w:rsidR="00AD1139" w:rsidRPr="003A5638" w:rsidRDefault="00AD1139">
      <w:pPr>
        <w:pStyle w:val="Zkladntext"/>
        <w:jc w:val="center"/>
        <w:rPr>
          <w:rFonts w:ascii="Times New Roman" w:eastAsia="Batang" w:hAnsi="Times New Roman" w:cs="Times New Roman"/>
          <w:b/>
          <w:bCs/>
          <w:szCs w:val="28"/>
        </w:rPr>
      </w:pPr>
      <w:r w:rsidRPr="003A5638">
        <w:rPr>
          <w:rFonts w:ascii="Times New Roman" w:eastAsia="Batang" w:hAnsi="Times New Roman" w:cs="Times New Roman"/>
          <w:b/>
          <w:bCs/>
          <w:szCs w:val="28"/>
        </w:rPr>
        <w:t>Obec Dolní Dobrouč</w:t>
      </w:r>
    </w:p>
    <w:p w14:paraId="745F2F83" w14:textId="77777777" w:rsidR="00C51428" w:rsidRPr="003A5638" w:rsidRDefault="00C51428">
      <w:pPr>
        <w:pStyle w:val="Zkladntext"/>
        <w:jc w:val="center"/>
        <w:rPr>
          <w:rFonts w:ascii="Times New Roman" w:eastAsia="Batang" w:hAnsi="Times New Roman" w:cs="Times New Roman"/>
          <w:b/>
          <w:bCs/>
          <w:szCs w:val="28"/>
        </w:rPr>
      </w:pPr>
      <w:r w:rsidRPr="003A5638">
        <w:rPr>
          <w:rFonts w:ascii="Times New Roman" w:eastAsia="Batang" w:hAnsi="Times New Roman" w:cs="Times New Roman"/>
          <w:b/>
          <w:bCs/>
          <w:szCs w:val="28"/>
        </w:rPr>
        <w:t>Zastupitelstvo obce Dolní Dobrouč</w:t>
      </w:r>
    </w:p>
    <w:p w14:paraId="02AEAECD" w14:textId="77777777" w:rsidR="00F72B23" w:rsidRPr="00C51428" w:rsidRDefault="00F72B23" w:rsidP="00F72B23">
      <w:pPr>
        <w:pStyle w:val="Zkladntext"/>
        <w:rPr>
          <w:rFonts w:ascii="Times New Roman" w:eastAsia="Batang" w:hAnsi="Times New Roman" w:cs="Times New Roman"/>
          <w:b/>
          <w:bCs/>
          <w:sz w:val="32"/>
          <w:szCs w:val="32"/>
        </w:rPr>
      </w:pPr>
    </w:p>
    <w:p w14:paraId="0274ABD8" w14:textId="77777777" w:rsidR="00704320" w:rsidRPr="00F72B23" w:rsidRDefault="00EC0881" w:rsidP="00EF099C">
      <w:pPr>
        <w:pStyle w:val="Zkladntext"/>
        <w:jc w:val="center"/>
        <w:rPr>
          <w:rFonts w:ascii="Times New Roman" w:eastAsia="Batang" w:hAnsi="Times New Roman" w:cs="Times New Roman"/>
          <w:b/>
          <w:bCs/>
          <w:szCs w:val="28"/>
        </w:rPr>
      </w:pPr>
      <w:r w:rsidRPr="00F72B23">
        <w:rPr>
          <w:rFonts w:ascii="Times New Roman" w:eastAsia="Batang" w:hAnsi="Times New Roman" w:cs="Times New Roman"/>
          <w:b/>
          <w:bCs/>
          <w:szCs w:val="28"/>
        </w:rPr>
        <w:t>Obecně závazná vyhláška obce Dolní Dobrouč</w:t>
      </w:r>
      <w:r w:rsidR="00F72B23" w:rsidRPr="00F72B23">
        <w:rPr>
          <w:rFonts w:ascii="Times New Roman" w:eastAsia="Batang" w:hAnsi="Times New Roman" w:cs="Times New Roman"/>
          <w:b/>
          <w:bCs/>
          <w:szCs w:val="28"/>
        </w:rPr>
        <w:t xml:space="preserve"> č. 2/2023,</w:t>
      </w:r>
    </w:p>
    <w:p w14:paraId="50F127E1" w14:textId="77777777" w:rsidR="00F757CD" w:rsidRPr="00F72B23" w:rsidRDefault="00EC0881" w:rsidP="00F757CD">
      <w:pPr>
        <w:pStyle w:val="Zkladntext"/>
        <w:jc w:val="center"/>
        <w:rPr>
          <w:rFonts w:ascii="Times New Roman" w:eastAsia="Batang" w:hAnsi="Times New Roman" w:cs="Times New Roman"/>
          <w:b/>
          <w:bCs/>
          <w:szCs w:val="28"/>
        </w:rPr>
      </w:pPr>
      <w:r w:rsidRPr="00F72B23">
        <w:rPr>
          <w:rFonts w:ascii="Times New Roman" w:eastAsia="Batang" w:hAnsi="Times New Roman" w:cs="Times New Roman"/>
          <w:b/>
          <w:bCs/>
          <w:szCs w:val="28"/>
        </w:rPr>
        <w:t xml:space="preserve">  </w:t>
      </w:r>
      <w:r w:rsidR="00D7371A" w:rsidRPr="00F72B23">
        <w:rPr>
          <w:rFonts w:ascii="Times New Roman" w:eastAsia="Batang" w:hAnsi="Times New Roman" w:cs="Times New Roman"/>
          <w:b/>
          <w:bCs/>
          <w:szCs w:val="28"/>
        </w:rPr>
        <w:t>o</w:t>
      </w:r>
      <w:r w:rsidR="00F757CD" w:rsidRPr="00F72B23">
        <w:rPr>
          <w:rFonts w:ascii="Times New Roman" w:eastAsia="Batang" w:hAnsi="Times New Roman" w:cs="Times New Roman"/>
          <w:b/>
          <w:bCs/>
          <w:szCs w:val="28"/>
        </w:rPr>
        <w:t xml:space="preserve"> </w:t>
      </w:r>
      <w:r w:rsidR="00FE4611" w:rsidRPr="00F72B23">
        <w:rPr>
          <w:rFonts w:ascii="Times New Roman" w:eastAsia="Batang" w:hAnsi="Times New Roman" w:cs="Times New Roman"/>
          <w:b/>
          <w:bCs/>
          <w:szCs w:val="28"/>
        </w:rPr>
        <w:t>stanovení podmínek k zabezpečení požární ochrany při akcích, kterých se zúčastňuje větší počet osob</w:t>
      </w:r>
      <w:r w:rsidR="00F757CD" w:rsidRPr="00F72B23">
        <w:rPr>
          <w:rFonts w:ascii="Times New Roman" w:eastAsia="Batang" w:hAnsi="Times New Roman" w:cs="Times New Roman"/>
          <w:b/>
          <w:bCs/>
          <w:szCs w:val="28"/>
        </w:rPr>
        <w:t xml:space="preserve"> </w:t>
      </w:r>
    </w:p>
    <w:p w14:paraId="4E93CC3B" w14:textId="77777777" w:rsidR="00EC0881" w:rsidRDefault="00EC0881" w:rsidP="00AC6808">
      <w:pPr>
        <w:pStyle w:val="Zkladntext"/>
        <w:tabs>
          <w:tab w:val="left" w:pos="426"/>
        </w:tabs>
        <w:rPr>
          <w:rFonts w:ascii="Times New Roman" w:eastAsia="Batang" w:hAnsi="Times New Roman" w:cs="Times New Roman"/>
          <w:b/>
          <w:bCs/>
          <w:sz w:val="24"/>
        </w:rPr>
      </w:pPr>
      <w:r w:rsidRPr="00690354">
        <w:rPr>
          <w:rFonts w:ascii="Times New Roman" w:eastAsia="Batang" w:hAnsi="Times New Roman" w:cs="Times New Roman"/>
          <w:b/>
          <w:bCs/>
          <w:sz w:val="24"/>
        </w:rPr>
        <w:t xml:space="preserve">  </w:t>
      </w:r>
    </w:p>
    <w:p w14:paraId="170EE268" w14:textId="77777777" w:rsidR="00AC6808" w:rsidRPr="00690354" w:rsidRDefault="00AC6808" w:rsidP="00AC6808">
      <w:pPr>
        <w:pStyle w:val="Zkladntext"/>
        <w:tabs>
          <w:tab w:val="left" w:pos="426"/>
        </w:tabs>
        <w:rPr>
          <w:rFonts w:ascii="Times New Roman" w:eastAsia="Batang" w:hAnsi="Times New Roman" w:cs="Times New Roman"/>
          <w:b/>
          <w:bCs/>
          <w:sz w:val="24"/>
        </w:rPr>
      </w:pPr>
    </w:p>
    <w:p w14:paraId="311063A2" w14:textId="77777777" w:rsidR="006F0121" w:rsidRPr="00A77FDF" w:rsidRDefault="00EC0881" w:rsidP="004B6F1D">
      <w:pPr>
        <w:pStyle w:val="Zkladntext"/>
        <w:rPr>
          <w:rFonts w:ascii="Times New Roman" w:eastAsia="Batang" w:hAnsi="Times New Roman" w:cs="Times New Roman"/>
          <w:sz w:val="24"/>
        </w:rPr>
      </w:pPr>
      <w:r w:rsidRPr="001B6EB0">
        <w:rPr>
          <w:rFonts w:ascii="Times New Roman" w:eastAsia="Batang" w:hAnsi="Times New Roman" w:cs="Times New Roman"/>
          <w:sz w:val="24"/>
        </w:rPr>
        <w:t xml:space="preserve">Zastupitelstvo obce Dolní Dobrouč </w:t>
      </w:r>
      <w:r w:rsidR="009969A3" w:rsidRPr="001B6EB0">
        <w:rPr>
          <w:rFonts w:ascii="Times New Roman" w:eastAsia="Batang" w:hAnsi="Times New Roman" w:cs="Times New Roman"/>
          <w:sz w:val="24"/>
        </w:rPr>
        <w:t xml:space="preserve">se na svém zasedání dne </w:t>
      </w:r>
      <w:r w:rsidR="00FE4611">
        <w:rPr>
          <w:rFonts w:ascii="Times New Roman" w:eastAsia="Batang" w:hAnsi="Times New Roman" w:cs="Times New Roman"/>
          <w:sz w:val="24"/>
        </w:rPr>
        <w:t>3. května 2023</w:t>
      </w:r>
      <w:r w:rsidR="009969A3" w:rsidRPr="001B6EB0">
        <w:rPr>
          <w:rFonts w:ascii="Times New Roman" w:eastAsia="Batang" w:hAnsi="Times New Roman" w:cs="Times New Roman"/>
          <w:sz w:val="24"/>
        </w:rPr>
        <w:t xml:space="preserve"> usnesením </w:t>
      </w:r>
      <w:r w:rsidR="00222FC8">
        <w:rPr>
          <w:rFonts w:ascii="Times New Roman" w:eastAsia="Batang" w:hAnsi="Times New Roman" w:cs="Times New Roman"/>
          <w:sz w:val="24"/>
        </w:rPr>
        <w:t xml:space="preserve">              </w:t>
      </w:r>
      <w:r w:rsidR="009969A3" w:rsidRPr="001B6EB0">
        <w:rPr>
          <w:rFonts w:ascii="Times New Roman" w:eastAsia="Batang" w:hAnsi="Times New Roman" w:cs="Times New Roman"/>
          <w:sz w:val="24"/>
        </w:rPr>
        <w:t xml:space="preserve">č. </w:t>
      </w:r>
      <w:r w:rsidR="00DE024A">
        <w:rPr>
          <w:rFonts w:ascii="Times New Roman" w:eastAsia="Batang" w:hAnsi="Times New Roman" w:cs="Times New Roman"/>
          <w:sz w:val="24"/>
        </w:rPr>
        <w:t>1</w:t>
      </w:r>
      <w:r w:rsidR="00FE4611">
        <w:rPr>
          <w:rFonts w:ascii="Times New Roman" w:eastAsia="Batang" w:hAnsi="Times New Roman" w:cs="Times New Roman"/>
          <w:sz w:val="24"/>
        </w:rPr>
        <w:t xml:space="preserve">1 </w:t>
      </w:r>
      <w:r w:rsidR="009969A3" w:rsidRPr="001B6EB0">
        <w:rPr>
          <w:rFonts w:ascii="Times New Roman" w:eastAsia="Batang" w:hAnsi="Times New Roman" w:cs="Times New Roman"/>
          <w:sz w:val="24"/>
        </w:rPr>
        <w:t xml:space="preserve">usneslo vydat na základě </w:t>
      </w:r>
      <w:r w:rsidR="005E0C7C">
        <w:rPr>
          <w:rFonts w:ascii="Times New Roman" w:eastAsia="Batang" w:hAnsi="Times New Roman" w:cs="Times New Roman"/>
          <w:sz w:val="24"/>
        </w:rPr>
        <w:t xml:space="preserve">§ </w:t>
      </w:r>
      <w:r w:rsidR="00F72B23">
        <w:rPr>
          <w:rFonts w:ascii="Times New Roman" w:eastAsia="Batang" w:hAnsi="Times New Roman" w:cs="Times New Roman"/>
          <w:sz w:val="24"/>
        </w:rPr>
        <w:t>8</w:t>
      </w:r>
      <w:r w:rsidR="005E0C7C">
        <w:rPr>
          <w:rFonts w:ascii="Times New Roman" w:eastAsia="Batang" w:hAnsi="Times New Roman" w:cs="Times New Roman"/>
          <w:sz w:val="24"/>
        </w:rPr>
        <w:t xml:space="preserve">4 </w:t>
      </w:r>
      <w:r w:rsidR="00FE4611" w:rsidRPr="00A77FDF">
        <w:rPr>
          <w:rFonts w:ascii="Times New Roman" w:eastAsia="Batang" w:hAnsi="Times New Roman" w:cs="Times New Roman"/>
          <w:sz w:val="24"/>
        </w:rPr>
        <w:t xml:space="preserve">odst. </w:t>
      </w:r>
      <w:r w:rsidR="00F72B23">
        <w:rPr>
          <w:rFonts w:ascii="Times New Roman" w:eastAsia="Batang" w:hAnsi="Times New Roman" w:cs="Times New Roman"/>
          <w:sz w:val="24"/>
        </w:rPr>
        <w:t>2</w:t>
      </w:r>
      <w:r w:rsidR="00FE4611" w:rsidRPr="00A77FDF">
        <w:rPr>
          <w:rFonts w:ascii="Times New Roman" w:eastAsia="Batang" w:hAnsi="Times New Roman" w:cs="Times New Roman"/>
          <w:sz w:val="24"/>
        </w:rPr>
        <w:t xml:space="preserve">, písm. </w:t>
      </w:r>
      <w:r w:rsidR="00F72B23">
        <w:rPr>
          <w:rFonts w:ascii="Times New Roman" w:eastAsia="Batang" w:hAnsi="Times New Roman" w:cs="Times New Roman"/>
          <w:sz w:val="24"/>
        </w:rPr>
        <w:t>h)</w:t>
      </w:r>
      <w:r w:rsidR="006F0121" w:rsidRPr="00A77FDF">
        <w:rPr>
          <w:rFonts w:ascii="Times New Roman" w:eastAsia="Batang" w:hAnsi="Times New Roman" w:cs="Times New Roman"/>
          <w:sz w:val="24"/>
        </w:rPr>
        <w:t xml:space="preserve"> zákona č. </w:t>
      </w:r>
      <w:r w:rsidR="00F72B23">
        <w:rPr>
          <w:rFonts w:ascii="Times New Roman" w:eastAsia="Batang" w:hAnsi="Times New Roman" w:cs="Times New Roman"/>
          <w:sz w:val="24"/>
        </w:rPr>
        <w:t>128/2000</w:t>
      </w:r>
      <w:r w:rsidR="006F0121" w:rsidRPr="00A77FDF">
        <w:rPr>
          <w:rFonts w:ascii="Times New Roman" w:eastAsia="Batang" w:hAnsi="Times New Roman" w:cs="Times New Roman"/>
          <w:sz w:val="24"/>
        </w:rPr>
        <w:t xml:space="preserve"> Sb., </w:t>
      </w:r>
      <w:r w:rsidR="00F72B23">
        <w:rPr>
          <w:rFonts w:ascii="Times New Roman" w:eastAsia="Batang" w:hAnsi="Times New Roman" w:cs="Times New Roman"/>
          <w:sz w:val="24"/>
        </w:rPr>
        <w:t xml:space="preserve">o obcích (obecní zřízení), </w:t>
      </w:r>
      <w:r w:rsidR="006F0121" w:rsidRPr="00A77FDF">
        <w:rPr>
          <w:rFonts w:ascii="Times New Roman" w:eastAsia="Batang" w:hAnsi="Times New Roman" w:cs="Times New Roman"/>
          <w:sz w:val="24"/>
        </w:rPr>
        <w:t xml:space="preserve">ve znění pozdějších předpisů, v souladu s § 29 odst. 1, písm. i) a písm. o) zákona </w:t>
      </w:r>
      <w:r w:rsidR="00F72B23">
        <w:rPr>
          <w:rFonts w:ascii="Times New Roman" w:eastAsia="Batang" w:hAnsi="Times New Roman" w:cs="Times New Roman"/>
          <w:sz w:val="24"/>
        </w:rPr>
        <w:t xml:space="preserve">                </w:t>
      </w:r>
      <w:r w:rsidR="006F0121" w:rsidRPr="00A77FDF">
        <w:rPr>
          <w:rFonts w:ascii="Times New Roman" w:eastAsia="Batang" w:hAnsi="Times New Roman" w:cs="Times New Roman"/>
          <w:sz w:val="24"/>
        </w:rPr>
        <w:t xml:space="preserve">č. 133/1985 Sb., o požární ochraně, ve znění pozdějších předpisů (dále jen „zákon o PO“) </w:t>
      </w:r>
      <w:r w:rsidR="0041627B">
        <w:rPr>
          <w:rFonts w:ascii="Times New Roman" w:eastAsia="Batang" w:hAnsi="Times New Roman" w:cs="Times New Roman"/>
          <w:sz w:val="24"/>
        </w:rPr>
        <w:t xml:space="preserve">            </w:t>
      </w:r>
      <w:r w:rsidR="006F0121" w:rsidRPr="00A77FDF">
        <w:rPr>
          <w:rFonts w:ascii="Times New Roman" w:eastAsia="Batang" w:hAnsi="Times New Roman" w:cs="Times New Roman"/>
          <w:sz w:val="24"/>
        </w:rPr>
        <w:t xml:space="preserve">a § 15 </w:t>
      </w:r>
      <w:r w:rsidR="007C0AD4">
        <w:rPr>
          <w:rFonts w:ascii="Times New Roman" w:eastAsia="Batang" w:hAnsi="Times New Roman" w:cs="Times New Roman"/>
          <w:sz w:val="24"/>
        </w:rPr>
        <w:t xml:space="preserve">nařízení vlády </w:t>
      </w:r>
      <w:r w:rsidR="006F0121" w:rsidRPr="00A77FDF">
        <w:rPr>
          <w:rFonts w:ascii="Times New Roman" w:eastAsia="Batang" w:hAnsi="Times New Roman" w:cs="Times New Roman"/>
          <w:sz w:val="24"/>
        </w:rPr>
        <w:t>č. 172/2001 Sb., k</w:t>
      </w:r>
      <w:r w:rsidR="007C0AD4">
        <w:rPr>
          <w:rFonts w:ascii="Times New Roman" w:eastAsia="Batang" w:hAnsi="Times New Roman" w:cs="Times New Roman"/>
          <w:sz w:val="24"/>
        </w:rPr>
        <w:t> provedení zákona o požární ochraně</w:t>
      </w:r>
      <w:r w:rsidR="006F0121" w:rsidRPr="00A77FDF">
        <w:rPr>
          <w:rFonts w:ascii="Times New Roman" w:eastAsia="Batang" w:hAnsi="Times New Roman" w:cs="Times New Roman"/>
          <w:sz w:val="24"/>
        </w:rPr>
        <w:t>, tuto obecně závaznou vyhlášku (dále jen „vyhláška“):</w:t>
      </w:r>
    </w:p>
    <w:p w14:paraId="5CCB0C00" w14:textId="77777777" w:rsidR="008754ED" w:rsidRDefault="008754ED" w:rsidP="008754ED">
      <w:pPr>
        <w:pStyle w:val="Zkladntext"/>
        <w:ind w:firstLine="708"/>
        <w:rPr>
          <w:rFonts w:ascii="Times New Roman" w:eastAsia="Batang" w:hAnsi="Times New Roman" w:cs="Times New Roman"/>
          <w:sz w:val="24"/>
        </w:rPr>
      </w:pPr>
    </w:p>
    <w:p w14:paraId="74984725" w14:textId="77777777" w:rsidR="00AC6808" w:rsidRPr="00690354" w:rsidRDefault="00AC6808" w:rsidP="008754ED">
      <w:pPr>
        <w:pStyle w:val="Zkladntext"/>
        <w:ind w:firstLine="708"/>
        <w:rPr>
          <w:rFonts w:ascii="Times New Roman" w:eastAsia="Batang" w:hAnsi="Times New Roman" w:cs="Times New Roman"/>
          <w:sz w:val="24"/>
        </w:rPr>
      </w:pPr>
    </w:p>
    <w:p w14:paraId="10EE4CE8" w14:textId="77777777" w:rsidR="00EC0881" w:rsidRPr="003765A6" w:rsidRDefault="00EC0881">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Čl</w:t>
      </w:r>
      <w:r w:rsidR="00C5218E">
        <w:rPr>
          <w:rFonts w:ascii="Times New Roman" w:eastAsia="Batang" w:hAnsi="Times New Roman" w:cs="Times New Roman"/>
          <w:b/>
          <w:sz w:val="24"/>
        </w:rPr>
        <w:t>. 1</w:t>
      </w:r>
    </w:p>
    <w:p w14:paraId="21091A81" w14:textId="77777777" w:rsidR="00EC0881" w:rsidRPr="003765A6" w:rsidRDefault="00EC0881">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Úvodní ustanovení</w:t>
      </w:r>
    </w:p>
    <w:p w14:paraId="754A7F82" w14:textId="77777777" w:rsidR="00EC0881" w:rsidRPr="00690354" w:rsidRDefault="00EC0881">
      <w:pPr>
        <w:pStyle w:val="Zkladntext"/>
        <w:jc w:val="center"/>
        <w:rPr>
          <w:rFonts w:ascii="Times New Roman" w:eastAsia="Batang" w:hAnsi="Times New Roman" w:cs="Times New Roman"/>
          <w:sz w:val="24"/>
        </w:rPr>
      </w:pPr>
    </w:p>
    <w:p w14:paraId="460A845B" w14:textId="77777777" w:rsidR="005E0C7C" w:rsidRDefault="006F0121" w:rsidP="006F0121">
      <w:pPr>
        <w:pStyle w:val="Zkladntext"/>
        <w:numPr>
          <w:ilvl w:val="0"/>
          <w:numId w:val="23"/>
        </w:numPr>
        <w:ind w:left="426" w:hanging="426"/>
        <w:rPr>
          <w:rFonts w:ascii="Times New Roman" w:eastAsia="Batang" w:hAnsi="Times New Roman" w:cs="Times New Roman"/>
          <w:sz w:val="24"/>
        </w:rPr>
      </w:pPr>
      <w:r>
        <w:rPr>
          <w:rFonts w:ascii="Times New Roman" w:eastAsia="Batang" w:hAnsi="Times New Roman" w:cs="Times New Roman"/>
          <w:sz w:val="24"/>
        </w:rPr>
        <w:t xml:space="preserve">Tato vyhláška stanoví podmínky požární bezpečnosti pro zabezpečení kulturních, sportovních, společenských, zábavních, politických, obchodních, náboženských a jiných obdobných akcí a shromáždění, kterých se zúčastňuje větší počet osob (dále jen „akce“) na území obce Dolní Dobrouč. </w:t>
      </w:r>
      <w:r w:rsidR="005E0C7C">
        <w:rPr>
          <w:rFonts w:ascii="Times New Roman" w:eastAsia="Batang" w:hAnsi="Times New Roman" w:cs="Times New Roman"/>
          <w:sz w:val="24"/>
        </w:rPr>
        <w:t xml:space="preserve"> </w:t>
      </w:r>
    </w:p>
    <w:p w14:paraId="1C8460B7" w14:textId="77777777" w:rsidR="006F0121" w:rsidRDefault="006F0121" w:rsidP="006F0121">
      <w:pPr>
        <w:pStyle w:val="Zkladntext"/>
        <w:ind w:left="426"/>
        <w:rPr>
          <w:rFonts w:ascii="Times New Roman" w:eastAsia="Batang" w:hAnsi="Times New Roman" w:cs="Times New Roman"/>
          <w:sz w:val="24"/>
        </w:rPr>
      </w:pPr>
    </w:p>
    <w:p w14:paraId="1D7F152A" w14:textId="77777777" w:rsidR="006F0121" w:rsidRDefault="006F0121" w:rsidP="006F0121">
      <w:pPr>
        <w:pStyle w:val="Zkladntext"/>
        <w:numPr>
          <w:ilvl w:val="0"/>
          <w:numId w:val="23"/>
        </w:numPr>
        <w:ind w:left="426" w:hanging="426"/>
        <w:rPr>
          <w:rFonts w:ascii="Times New Roman" w:eastAsia="Batang" w:hAnsi="Times New Roman" w:cs="Times New Roman"/>
          <w:sz w:val="24"/>
        </w:rPr>
      </w:pPr>
      <w:r>
        <w:rPr>
          <w:rFonts w:ascii="Times New Roman" w:eastAsia="Batang" w:hAnsi="Times New Roman" w:cs="Times New Roman"/>
          <w:sz w:val="24"/>
        </w:rPr>
        <w:t xml:space="preserve">Za splnění podmínek k zabezpečení požární ochrany při </w:t>
      </w:r>
      <w:r w:rsidR="007C0AD4">
        <w:rPr>
          <w:rFonts w:ascii="Times New Roman" w:eastAsia="Batang" w:hAnsi="Times New Roman" w:cs="Times New Roman"/>
          <w:sz w:val="24"/>
        </w:rPr>
        <w:t xml:space="preserve">akcích </w:t>
      </w:r>
      <w:r>
        <w:rPr>
          <w:rFonts w:ascii="Times New Roman" w:eastAsia="Batang" w:hAnsi="Times New Roman" w:cs="Times New Roman"/>
          <w:sz w:val="24"/>
        </w:rPr>
        <w:t>odpovídá právnická osoba, podnikající fyzická osob</w:t>
      </w:r>
      <w:r w:rsidR="00295CAE">
        <w:rPr>
          <w:rFonts w:ascii="Times New Roman" w:eastAsia="Batang" w:hAnsi="Times New Roman" w:cs="Times New Roman"/>
          <w:sz w:val="24"/>
        </w:rPr>
        <w:t>a</w:t>
      </w:r>
      <w:r>
        <w:rPr>
          <w:rFonts w:ascii="Times New Roman" w:eastAsia="Batang" w:hAnsi="Times New Roman" w:cs="Times New Roman"/>
          <w:sz w:val="24"/>
        </w:rPr>
        <w:t xml:space="preserve">, fyzická osoba nebo skupina osob včetně sdružení občanů, obec nebo úřad, který pořádá </w:t>
      </w:r>
      <w:r w:rsidR="00295CAE">
        <w:rPr>
          <w:rFonts w:ascii="Times New Roman" w:eastAsia="Batang" w:hAnsi="Times New Roman" w:cs="Times New Roman"/>
          <w:sz w:val="24"/>
        </w:rPr>
        <w:t>ak</w:t>
      </w:r>
      <w:r>
        <w:rPr>
          <w:rFonts w:ascii="Times New Roman" w:eastAsia="Batang" w:hAnsi="Times New Roman" w:cs="Times New Roman"/>
          <w:sz w:val="24"/>
        </w:rPr>
        <w:t xml:space="preserve">ci na území obce, též svolavatel (dále jen „organizátor akce“). </w:t>
      </w:r>
    </w:p>
    <w:p w14:paraId="2F5BA714" w14:textId="77777777" w:rsidR="005E0C7C" w:rsidRDefault="005E0C7C" w:rsidP="005E0C7C">
      <w:pPr>
        <w:pStyle w:val="Zkladntext"/>
        <w:ind w:left="426"/>
        <w:rPr>
          <w:rFonts w:ascii="Times New Roman" w:eastAsia="Batang" w:hAnsi="Times New Roman" w:cs="Times New Roman"/>
          <w:sz w:val="24"/>
        </w:rPr>
      </w:pPr>
    </w:p>
    <w:p w14:paraId="6A25744B" w14:textId="77777777" w:rsidR="00941659" w:rsidRPr="00690354" w:rsidRDefault="00941659">
      <w:pPr>
        <w:pStyle w:val="Zkladntext"/>
        <w:rPr>
          <w:rFonts w:ascii="Times New Roman" w:eastAsia="Batang" w:hAnsi="Times New Roman" w:cs="Times New Roman"/>
          <w:sz w:val="24"/>
        </w:rPr>
      </w:pPr>
    </w:p>
    <w:p w14:paraId="39EB4CC5" w14:textId="77777777" w:rsidR="00EC0881" w:rsidRPr="003765A6" w:rsidRDefault="00EC0881">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Čl</w:t>
      </w:r>
      <w:r w:rsidR="00C5218E">
        <w:rPr>
          <w:rFonts w:ascii="Times New Roman" w:eastAsia="Batang" w:hAnsi="Times New Roman" w:cs="Times New Roman"/>
          <w:b/>
          <w:sz w:val="24"/>
        </w:rPr>
        <w:t xml:space="preserve">. </w:t>
      </w:r>
      <w:r w:rsidRPr="003765A6">
        <w:rPr>
          <w:rFonts w:ascii="Times New Roman" w:eastAsia="Batang" w:hAnsi="Times New Roman" w:cs="Times New Roman"/>
          <w:b/>
          <w:sz w:val="24"/>
        </w:rPr>
        <w:t>2</w:t>
      </w:r>
    </w:p>
    <w:p w14:paraId="12ECEE25" w14:textId="77777777" w:rsidR="00EC0881" w:rsidRPr="003765A6" w:rsidRDefault="00295CAE">
      <w:pPr>
        <w:pStyle w:val="Zkladntext"/>
        <w:jc w:val="center"/>
        <w:rPr>
          <w:rFonts w:ascii="Times New Roman" w:eastAsia="Batang" w:hAnsi="Times New Roman" w:cs="Times New Roman"/>
          <w:b/>
          <w:sz w:val="24"/>
        </w:rPr>
      </w:pPr>
      <w:r>
        <w:rPr>
          <w:rFonts w:ascii="Times New Roman" w:eastAsia="Batang" w:hAnsi="Times New Roman" w:cs="Times New Roman"/>
          <w:b/>
          <w:sz w:val="24"/>
        </w:rPr>
        <w:t>Vymezení pojmů</w:t>
      </w:r>
      <w:r w:rsidR="005E0C7C">
        <w:rPr>
          <w:rFonts w:ascii="Times New Roman" w:eastAsia="Batang" w:hAnsi="Times New Roman" w:cs="Times New Roman"/>
          <w:b/>
          <w:sz w:val="24"/>
        </w:rPr>
        <w:t xml:space="preserve"> </w:t>
      </w:r>
      <w:r w:rsidR="00235B7E" w:rsidRPr="003765A6">
        <w:rPr>
          <w:rFonts w:ascii="Times New Roman" w:eastAsia="Batang" w:hAnsi="Times New Roman" w:cs="Times New Roman"/>
          <w:b/>
          <w:sz w:val="24"/>
        </w:rPr>
        <w:t xml:space="preserve"> </w:t>
      </w:r>
    </w:p>
    <w:p w14:paraId="2678CD58" w14:textId="77777777" w:rsidR="00235B7E" w:rsidRPr="003765A6" w:rsidRDefault="00235B7E">
      <w:pPr>
        <w:pStyle w:val="Zkladntext"/>
        <w:jc w:val="center"/>
        <w:rPr>
          <w:rFonts w:ascii="Times New Roman" w:eastAsia="Batang" w:hAnsi="Times New Roman" w:cs="Times New Roman"/>
          <w:b/>
          <w:sz w:val="24"/>
        </w:rPr>
      </w:pPr>
    </w:p>
    <w:p w14:paraId="036A82E3" w14:textId="77777777" w:rsidR="00FE3CFF" w:rsidRDefault="00295CAE" w:rsidP="00295CAE">
      <w:pPr>
        <w:pStyle w:val="Zkladntext"/>
        <w:ind w:left="426" w:hanging="426"/>
        <w:rPr>
          <w:rFonts w:ascii="Times New Roman" w:eastAsia="Batang" w:hAnsi="Times New Roman" w:cs="Times New Roman"/>
          <w:sz w:val="24"/>
        </w:rPr>
      </w:pPr>
      <w:r>
        <w:rPr>
          <w:rFonts w:ascii="Times New Roman" w:eastAsia="Batang" w:hAnsi="Times New Roman" w:cs="Times New Roman"/>
          <w:sz w:val="24"/>
        </w:rPr>
        <w:t xml:space="preserve">(1) </w:t>
      </w:r>
      <w:r w:rsidR="00A77FDF">
        <w:rPr>
          <w:rFonts w:ascii="Times New Roman" w:eastAsia="Batang" w:hAnsi="Times New Roman" w:cs="Times New Roman"/>
          <w:sz w:val="24"/>
        </w:rPr>
        <w:t xml:space="preserve"> </w:t>
      </w:r>
      <w:r>
        <w:rPr>
          <w:rFonts w:ascii="Times New Roman" w:eastAsia="Batang" w:hAnsi="Times New Roman" w:cs="Times New Roman"/>
          <w:sz w:val="24"/>
        </w:rPr>
        <w:t xml:space="preserve">Pro účely </w:t>
      </w:r>
      <w:r w:rsidR="00A77FDF">
        <w:rPr>
          <w:rFonts w:ascii="Times New Roman" w:eastAsia="Batang" w:hAnsi="Times New Roman" w:cs="Times New Roman"/>
          <w:sz w:val="24"/>
        </w:rPr>
        <w:t>této vyhlášky</w:t>
      </w:r>
      <w:r>
        <w:rPr>
          <w:rFonts w:ascii="Times New Roman" w:eastAsia="Batang" w:hAnsi="Times New Roman" w:cs="Times New Roman"/>
          <w:sz w:val="24"/>
        </w:rPr>
        <w:t xml:space="preserve"> se rozumí:</w:t>
      </w:r>
    </w:p>
    <w:p w14:paraId="282BF0BE" w14:textId="77777777" w:rsidR="009B0C7F" w:rsidRDefault="009B0C7F" w:rsidP="009B0C7F">
      <w:pPr>
        <w:pStyle w:val="Zkladntext"/>
        <w:ind w:left="426"/>
        <w:rPr>
          <w:rFonts w:ascii="Times New Roman" w:eastAsia="Batang" w:hAnsi="Times New Roman" w:cs="Times New Roman"/>
          <w:sz w:val="24"/>
        </w:rPr>
      </w:pPr>
    </w:p>
    <w:p w14:paraId="38BF7E4B" w14:textId="77777777" w:rsidR="00295CAE" w:rsidRDefault="00A77FDF" w:rsidP="00D3023D">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s</w:t>
      </w:r>
      <w:r w:rsidR="00295CAE">
        <w:rPr>
          <w:rFonts w:ascii="Times New Roman" w:eastAsia="Batang" w:hAnsi="Times New Roman" w:cs="Times New Roman"/>
          <w:sz w:val="24"/>
        </w:rPr>
        <w:t>tanovení podmínek požární bezpečnosti při akcích – souhrn opatření, kterými se stanoví rozsah a způsob zabezpečení požární ochrany před zahájením akce, v jejím průběhu a při jejím ukončení,</w:t>
      </w:r>
    </w:p>
    <w:p w14:paraId="255CD1D9" w14:textId="77777777" w:rsidR="00D3023D" w:rsidRDefault="00295CAE" w:rsidP="00D3023D">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ukončení akce – ponechání místa konání akce v požárně nezávadném stavu, včetně dodržení podmínek stanovených smlouvou podle čl. 3 odst. 4 této vyhlášky,</w:t>
      </w:r>
    </w:p>
    <w:p w14:paraId="74EB3A0F" w14:textId="77777777" w:rsidR="00295CAE" w:rsidRDefault="00295CAE" w:rsidP="00D3023D">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shromažďovací prostor – vnitřní nebo venkovní prostor určený pro shromažďování většího počtu osob,</w:t>
      </w:r>
    </w:p>
    <w:p w14:paraId="7F1F558B" w14:textId="77777777" w:rsidR="00295CAE" w:rsidRDefault="00295CAE" w:rsidP="00D3023D">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vnitřní shromažďovací prostor – prostor, který je po obvod</w:t>
      </w:r>
      <w:r w:rsidR="00A77FDF">
        <w:rPr>
          <w:rFonts w:ascii="Times New Roman" w:eastAsia="Batang" w:hAnsi="Times New Roman" w:cs="Times New Roman"/>
          <w:sz w:val="24"/>
        </w:rPr>
        <w:t>ě</w:t>
      </w:r>
      <w:r>
        <w:rPr>
          <w:rFonts w:ascii="Times New Roman" w:eastAsia="Batang" w:hAnsi="Times New Roman" w:cs="Times New Roman"/>
          <w:sz w:val="24"/>
        </w:rPr>
        <w:t xml:space="preserve"> a shora vymezený stavebními konstrukcemi, přičemž se za stavební</w:t>
      </w:r>
      <w:r w:rsidR="00A77FDF">
        <w:rPr>
          <w:rFonts w:ascii="Times New Roman" w:eastAsia="Batang" w:hAnsi="Times New Roman" w:cs="Times New Roman"/>
          <w:sz w:val="24"/>
        </w:rPr>
        <w:t xml:space="preserve"> </w:t>
      </w:r>
      <w:r>
        <w:rPr>
          <w:rFonts w:ascii="Times New Roman" w:eastAsia="Batang" w:hAnsi="Times New Roman" w:cs="Times New Roman"/>
          <w:sz w:val="24"/>
        </w:rPr>
        <w:t>ko</w:t>
      </w:r>
      <w:r w:rsidR="00A77FDF">
        <w:rPr>
          <w:rFonts w:ascii="Times New Roman" w:eastAsia="Batang" w:hAnsi="Times New Roman" w:cs="Times New Roman"/>
          <w:sz w:val="24"/>
        </w:rPr>
        <w:t>n</w:t>
      </w:r>
      <w:r>
        <w:rPr>
          <w:rFonts w:ascii="Times New Roman" w:eastAsia="Batang" w:hAnsi="Times New Roman" w:cs="Times New Roman"/>
          <w:sz w:val="24"/>
        </w:rPr>
        <w:t xml:space="preserve">strukce považují také </w:t>
      </w:r>
      <w:r>
        <w:rPr>
          <w:rFonts w:ascii="Times New Roman" w:eastAsia="Batang" w:hAnsi="Times New Roman" w:cs="Times New Roman"/>
          <w:sz w:val="24"/>
        </w:rPr>
        <w:lastRenderedPageBreak/>
        <w:t>konstrukce přemístitelné (posuvná stěna či střecha apod.)</w:t>
      </w:r>
      <w:r w:rsidR="00A77FDF">
        <w:rPr>
          <w:rFonts w:ascii="Times New Roman" w:eastAsia="Batang" w:hAnsi="Times New Roman" w:cs="Times New Roman"/>
          <w:sz w:val="24"/>
        </w:rPr>
        <w:t xml:space="preserve"> nebo krátkodobé, popřípadě dočasné (stanové, kontejnerové, buňkové apod.)</w:t>
      </w:r>
      <w:r w:rsidR="00EF2B8D">
        <w:rPr>
          <w:rFonts w:ascii="Times New Roman" w:eastAsia="Batang" w:hAnsi="Times New Roman" w:cs="Times New Roman"/>
          <w:sz w:val="24"/>
        </w:rPr>
        <w:t>,</w:t>
      </w:r>
    </w:p>
    <w:p w14:paraId="7021BEB0" w14:textId="77777777" w:rsidR="00295CAE" w:rsidRDefault="00A77FDF" w:rsidP="00A77FDF">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venkovní shromažďovací prostor – prostor, který je neuzavřený po obvodě nebo shora, avšak vytvořený nebo vymezený stavebními konstrukcemi (tribunou, pódiem, ohradní stěnou, oplocením, přenosnými zábranami apod.), okolním terénem nebo přírodním prostředím (svah, vodní plocha); také prostor v uzavřeném nebo částečně uzavřeném volném prostranství (dvory apod.), prostor na veřejném prostranství i mimo ně pod širým nebem.</w:t>
      </w:r>
    </w:p>
    <w:p w14:paraId="599D5641" w14:textId="77777777" w:rsidR="00A77FDF" w:rsidRDefault="00A77FDF" w:rsidP="00A77FDF">
      <w:pPr>
        <w:pStyle w:val="Zkladntext"/>
        <w:ind w:left="1146"/>
        <w:rPr>
          <w:rFonts w:ascii="Times New Roman" w:eastAsia="Batang" w:hAnsi="Times New Roman" w:cs="Times New Roman"/>
          <w:sz w:val="24"/>
        </w:rPr>
      </w:pPr>
    </w:p>
    <w:p w14:paraId="0402E03F" w14:textId="77777777" w:rsidR="00FF29D4" w:rsidRPr="00FF29D4" w:rsidRDefault="00FF29D4" w:rsidP="00FF29D4">
      <w:pPr>
        <w:pStyle w:val="Zkladntext"/>
        <w:rPr>
          <w:rFonts w:ascii="Times New Roman" w:eastAsia="Batang" w:hAnsi="Times New Roman" w:cs="Times New Roman"/>
          <w:sz w:val="24"/>
        </w:rPr>
      </w:pPr>
      <w:r w:rsidRPr="00FF29D4">
        <w:rPr>
          <w:rFonts w:ascii="Times New Roman" w:eastAsia="Batang" w:hAnsi="Times New Roman" w:cs="Times New Roman"/>
          <w:sz w:val="24"/>
        </w:rPr>
        <w:t>(2</w:t>
      </w:r>
      <w:r>
        <w:rPr>
          <w:rFonts w:ascii="Times New Roman" w:eastAsia="Batang" w:hAnsi="Times New Roman" w:cs="Times New Roman"/>
          <w:sz w:val="24"/>
        </w:rPr>
        <w:t xml:space="preserve">)  </w:t>
      </w:r>
      <w:r w:rsidR="00A77FDF">
        <w:rPr>
          <w:rFonts w:ascii="Times New Roman" w:eastAsia="Batang" w:hAnsi="Times New Roman" w:cs="Times New Roman"/>
          <w:sz w:val="24"/>
        </w:rPr>
        <w:t>Členění akcí podle místa konání a počtu osob:</w:t>
      </w:r>
    </w:p>
    <w:p w14:paraId="7D618230" w14:textId="77777777" w:rsidR="00D3023D" w:rsidRDefault="00FF29D4" w:rsidP="00D3023D">
      <w:pPr>
        <w:pStyle w:val="Zkladntext"/>
        <w:rPr>
          <w:rFonts w:ascii="Times New Roman" w:eastAsia="Batang" w:hAnsi="Times New Roman" w:cs="Times New Roman"/>
          <w:sz w:val="24"/>
        </w:rPr>
      </w:pPr>
      <w:r>
        <w:rPr>
          <w:rFonts w:ascii="Times New Roman" w:eastAsia="Batang" w:hAnsi="Times New Roman" w:cs="Times New Roman"/>
          <w:sz w:val="24"/>
        </w:rPr>
        <w:t xml:space="preserve">           </w:t>
      </w:r>
    </w:p>
    <w:p w14:paraId="20CC5936" w14:textId="77777777" w:rsidR="00FF29D4" w:rsidRDefault="00FF29D4" w:rsidP="00FF29D4">
      <w:pPr>
        <w:pStyle w:val="Zkladntext"/>
        <w:numPr>
          <w:ilvl w:val="1"/>
          <w:numId w:val="4"/>
        </w:numPr>
        <w:ind w:left="1134" w:hanging="425"/>
        <w:rPr>
          <w:rFonts w:ascii="Times New Roman" w:eastAsia="Batang" w:hAnsi="Times New Roman" w:cs="Times New Roman"/>
          <w:sz w:val="24"/>
        </w:rPr>
      </w:pPr>
      <w:r>
        <w:rPr>
          <w:rFonts w:ascii="Times New Roman" w:eastAsia="Batang" w:hAnsi="Times New Roman" w:cs="Times New Roman"/>
          <w:sz w:val="24"/>
        </w:rPr>
        <w:t xml:space="preserve">akce ve vnitřním shromažďovacím prostoru podle odst. 1 písm. c) a d) tohoto článku, určeném k tomuto účelu v souladu se zvláštním právním předpisem, </w:t>
      </w:r>
    </w:p>
    <w:p w14:paraId="5A872423" w14:textId="77777777" w:rsidR="00FF29D4" w:rsidRDefault="00FF29D4" w:rsidP="00FF29D4">
      <w:pPr>
        <w:pStyle w:val="Zkladntext"/>
        <w:numPr>
          <w:ilvl w:val="3"/>
          <w:numId w:val="4"/>
        </w:numPr>
        <w:ind w:left="1985" w:hanging="284"/>
        <w:rPr>
          <w:rFonts w:ascii="Times New Roman" w:eastAsia="Batang" w:hAnsi="Times New Roman" w:cs="Times New Roman"/>
          <w:sz w:val="24"/>
        </w:rPr>
      </w:pPr>
      <w:r>
        <w:rPr>
          <w:rFonts w:ascii="Times New Roman" w:eastAsia="Batang" w:hAnsi="Times New Roman" w:cs="Times New Roman"/>
          <w:sz w:val="24"/>
        </w:rPr>
        <w:t>u něhož z dokumentace ověřené stavebním úřadem vyplývá počet osob, pro který je prostor určen,</w:t>
      </w:r>
    </w:p>
    <w:p w14:paraId="0D824369" w14:textId="77777777" w:rsidR="00FF29D4" w:rsidRDefault="00FF29D4" w:rsidP="00FF29D4">
      <w:pPr>
        <w:pStyle w:val="Zkladntext"/>
        <w:numPr>
          <w:ilvl w:val="3"/>
          <w:numId w:val="4"/>
        </w:numPr>
        <w:ind w:left="1985" w:hanging="284"/>
        <w:rPr>
          <w:rFonts w:ascii="Times New Roman" w:eastAsia="Batang" w:hAnsi="Times New Roman" w:cs="Times New Roman"/>
          <w:sz w:val="24"/>
        </w:rPr>
      </w:pPr>
      <w:r>
        <w:rPr>
          <w:rFonts w:ascii="Times New Roman" w:eastAsia="Batang" w:hAnsi="Times New Roman" w:cs="Times New Roman"/>
          <w:sz w:val="24"/>
        </w:rPr>
        <w:t>u něhož nebyla v dokumentaci ověřené stavebním úřadem stanovena dolní hranice počtu osob, které se mohou v tomto prostoru současně vyskytovat, pak se za tento počet považuje 200 osob a více;</w:t>
      </w:r>
      <w:r w:rsidR="00CD36B0">
        <w:rPr>
          <w:rFonts w:ascii="Times New Roman" w:eastAsia="Batang" w:hAnsi="Times New Roman" w:cs="Times New Roman"/>
          <w:sz w:val="24"/>
        </w:rPr>
        <w:t xml:space="preserve"> </w:t>
      </w:r>
      <w:r>
        <w:rPr>
          <w:rFonts w:ascii="Times New Roman" w:eastAsia="Batang" w:hAnsi="Times New Roman" w:cs="Times New Roman"/>
          <w:sz w:val="24"/>
        </w:rPr>
        <w:t>nebyla-li v dokumentaci ověřené stavebním úřadem stanovena horní hranice počtu osob, které se mohou současně v tomto prostoru vyskytovat, pak tento počet určí jeho vlastník,</w:t>
      </w:r>
    </w:p>
    <w:p w14:paraId="5960CDD0" w14:textId="77777777" w:rsidR="00FF29D4" w:rsidRDefault="00FF29D4" w:rsidP="00D573AE">
      <w:pPr>
        <w:pStyle w:val="Zkladntext"/>
        <w:numPr>
          <w:ilvl w:val="1"/>
          <w:numId w:val="4"/>
        </w:numPr>
        <w:ind w:left="1134" w:hanging="425"/>
        <w:rPr>
          <w:rFonts w:ascii="Times New Roman" w:eastAsia="Batang" w:hAnsi="Times New Roman" w:cs="Times New Roman"/>
          <w:sz w:val="24"/>
        </w:rPr>
      </w:pPr>
      <w:r>
        <w:rPr>
          <w:rFonts w:ascii="Times New Roman" w:eastAsia="Batang" w:hAnsi="Times New Roman" w:cs="Times New Roman"/>
          <w:sz w:val="24"/>
        </w:rPr>
        <w:t xml:space="preserve">akce ve venkovním </w:t>
      </w:r>
      <w:r w:rsidR="00D573AE">
        <w:rPr>
          <w:rFonts w:ascii="Times New Roman" w:eastAsia="Batang" w:hAnsi="Times New Roman" w:cs="Times New Roman"/>
          <w:sz w:val="24"/>
        </w:rPr>
        <w:t>shromažďovacím prostoru podle odst. 1 písm. c) a e) tohoto článku, určeném k tomuto účelu v souladu se zvláštním právním předpisem,</w:t>
      </w:r>
    </w:p>
    <w:p w14:paraId="71C48704" w14:textId="77777777" w:rsidR="00D573AE" w:rsidRDefault="00D573AE" w:rsidP="00D573AE">
      <w:pPr>
        <w:pStyle w:val="Zkladntext"/>
        <w:numPr>
          <w:ilvl w:val="3"/>
          <w:numId w:val="4"/>
        </w:numPr>
        <w:ind w:left="1985" w:hanging="284"/>
        <w:rPr>
          <w:rFonts w:ascii="Times New Roman" w:eastAsia="Batang" w:hAnsi="Times New Roman" w:cs="Times New Roman"/>
          <w:sz w:val="24"/>
        </w:rPr>
      </w:pPr>
      <w:r>
        <w:rPr>
          <w:rFonts w:ascii="Times New Roman" w:eastAsia="Batang" w:hAnsi="Times New Roman" w:cs="Times New Roman"/>
          <w:sz w:val="24"/>
        </w:rPr>
        <w:t xml:space="preserve">u něhož z dokumentace ověřené stavebním úřadem vyplývá počet osob, pro který je prostor určen, </w:t>
      </w:r>
    </w:p>
    <w:p w14:paraId="1B7C9838" w14:textId="77777777" w:rsidR="00D573AE" w:rsidRDefault="00D573AE" w:rsidP="00D573AE">
      <w:pPr>
        <w:pStyle w:val="Zkladntext"/>
        <w:numPr>
          <w:ilvl w:val="3"/>
          <w:numId w:val="4"/>
        </w:numPr>
        <w:ind w:left="1985" w:hanging="284"/>
        <w:rPr>
          <w:rFonts w:ascii="Times New Roman" w:eastAsia="Batang" w:hAnsi="Times New Roman" w:cs="Times New Roman"/>
          <w:sz w:val="24"/>
        </w:rPr>
      </w:pPr>
      <w:r>
        <w:rPr>
          <w:rFonts w:ascii="Times New Roman" w:eastAsia="Batang" w:hAnsi="Times New Roman" w:cs="Times New Roman"/>
          <w:sz w:val="24"/>
        </w:rPr>
        <w:t xml:space="preserve">u něhož nebyla v dokumentaci ověřené stavebním úřadem stanovena dolní hranice počtu osob, které se mohou v tomto prostoru vyskytovat, pak se za tento počet považuje 200 osob a více; nebyla-li v dokumentaci </w:t>
      </w:r>
      <w:r w:rsidR="00CD36B0">
        <w:rPr>
          <w:rFonts w:ascii="Times New Roman" w:eastAsia="Batang" w:hAnsi="Times New Roman" w:cs="Times New Roman"/>
          <w:sz w:val="24"/>
        </w:rPr>
        <w:t xml:space="preserve">ověřené stavebním úřadem stanovena horní hranice počtu osob, které se mohou současně v tomto prostoru vyskytovat, pak tento počet určí jeho vlastník </w:t>
      </w:r>
      <w:r w:rsidR="0041627B">
        <w:rPr>
          <w:rFonts w:ascii="Times New Roman" w:eastAsia="Batang" w:hAnsi="Times New Roman" w:cs="Times New Roman"/>
          <w:sz w:val="24"/>
        </w:rPr>
        <w:t xml:space="preserve"> </w:t>
      </w:r>
      <w:r w:rsidR="00CD36B0">
        <w:rPr>
          <w:rFonts w:ascii="Times New Roman" w:eastAsia="Batang" w:hAnsi="Times New Roman" w:cs="Times New Roman"/>
          <w:sz w:val="24"/>
        </w:rPr>
        <w:t xml:space="preserve">(§ 2 odst. 2 zákona č. 133/1985 Sb., o požární ochraně, ve znění pozdějších předpisů),  </w:t>
      </w:r>
    </w:p>
    <w:p w14:paraId="15E86840" w14:textId="77777777" w:rsidR="00CD36B0" w:rsidRDefault="00CD36B0" w:rsidP="00CD36B0">
      <w:pPr>
        <w:pStyle w:val="Zkladntext"/>
        <w:ind w:left="1985"/>
        <w:rPr>
          <w:rFonts w:ascii="Times New Roman" w:eastAsia="Batang" w:hAnsi="Times New Roman" w:cs="Times New Roman"/>
          <w:sz w:val="24"/>
        </w:rPr>
      </w:pPr>
    </w:p>
    <w:p w14:paraId="0FF412CE" w14:textId="77777777" w:rsidR="00CD36B0" w:rsidRDefault="00CD36B0" w:rsidP="00CD36B0">
      <w:pPr>
        <w:pStyle w:val="Zkladntext"/>
        <w:numPr>
          <w:ilvl w:val="1"/>
          <w:numId w:val="4"/>
        </w:numPr>
        <w:ind w:left="1134" w:hanging="425"/>
        <w:rPr>
          <w:rFonts w:ascii="Times New Roman" w:eastAsia="Batang" w:hAnsi="Times New Roman" w:cs="Times New Roman"/>
          <w:sz w:val="24"/>
        </w:rPr>
      </w:pPr>
      <w:r>
        <w:rPr>
          <w:rFonts w:ascii="Times New Roman" w:eastAsia="Batang" w:hAnsi="Times New Roman" w:cs="Times New Roman"/>
          <w:sz w:val="24"/>
        </w:rPr>
        <w:t>akce ve venkovním shromažďovacím prostoru, který</w:t>
      </w:r>
      <w:r w:rsidR="00EF2B8D">
        <w:rPr>
          <w:rFonts w:ascii="Times New Roman" w:eastAsia="Batang" w:hAnsi="Times New Roman" w:cs="Times New Roman"/>
          <w:sz w:val="24"/>
        </w:rPr>
        <w:t>ch</w:t>
      </w:r>
      <w:r>
        <w:rPr>
          <w:rFonts w:ascii="Times New Roman" w:eastAsia="Batang" w:hAnsi="Times New Roman" w:cs="Times New Roman"/>
          <w:sz w:val="24"/>
        </w:rPr>
        <w:t xml:space="preserve"> se zúčastní 300 osob a více; v případě akcí na veřejném prostranství i mimo ně pod širým nebem, kterých se zúčastní 900 osob a více. </w:t>
      </w:r>
    </w:p>
    <w:p w14:paraId="21821B1D" w14:textId="77777777" w:rsidR="00CD36B0" w:rsidRDefault="00CD36B0" w:rsidP="00CD36B0">
      <w:pPr>
        <w:pStyle w:val="Zkladntext"/>
        <w:rPr>
          <w:rFonts w:ascii="Times New Roman" w:eastAsia="Batang" w:hAnsi="Times New Roman" w:cs="Times New Roman"/>
          <w:sz w:val="24"/>
        </w:rPr>
      </w:pPr>
    </w:p>
    <w:p w14:paraId="1756FCCE" w14:textId="77777777" w:rsidR="00CD36B0" w:rsidRDefault="00CD36B0" w:rsidP="00CD36B0">
      <w:pPr>
        <w:pStyle w:val="Zkladntext"/>
        <w:rPr>
          <w:rFonts w:ascii="Times New Roman" w:eastAsia="Batang" w:hAnsi="Times New Roman" w:cs="Times New Roman"/>
          <w:sz w:val="24"/>
        </w:rPr>
      </w:pPr>
    </w:p>
    <w:p w14:paraId="7F2D396F" w14:textId="77777777" w:rsidR="00CD36B0" w:rsidRPr="003765A6" w:rsidRDefault="00CD36B0" w:rsidP="00CD36B0">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Čl</w:t>
      </w:r>
      <w:r>
        <w:rPr>
          <w:rFonts w:ascii="Times New Roman" w:eastAsia="Batang" w:hAnsi="Times New Roman" w:cs="Times New Roman"/>
          <w:b/>
          <w:sz w:val="24"/>
        </w:rPr>
        <w:t>. 3</w:t>
      </w:r>
    </w:p>
    <w:p w14:paraId="050145EC" w14:textId="77777777" w:rsidR="00CD36B0" w:rsidRDefault="00CD36B0" w:rsidP="00CD36B0">
      <w:pPr>
        <w:pStyle w:val="Zkladntext"/>
        <w:jc w:val="center"/>
        <w:rPr>
          <w:rFonts w:ascii="Times New Roman" w:eastAsia="Batang" w:hAnsi="Times New Roman" w:cs="Times New Roman"/>
          <w:b/>
          <w:sz w:val="24"/>
        </w:rPr>
      </w:pPr>
      <w:r>
        <w:rPr>
          <w:rFonts w:ascii="Times New Roman" w:eastAsia="Batang" w:hAnsi="Times New Roman" w:cs="Times New Roman"/>
          <w:b/>
          <w:sz w:val="24"/>
        </w:rPr>
        <w:t xml:space="preserve">Stanovení podmínek požární bezpečnosti pro pořádání akce </w:t>
      </w:r>
    </w:p>
    <w:p w14:paraId="1CE4261C" w14:textId="77777777" w:rsidR="00CD36B0" w:rsidRPr="00CD36B0" w:rsidRDefault="00CD36B0" w:rsidP="00CD36B0">
      <w:pPr>
        <w:pStyle w:val="Zkladntext"/>
        <w:jc w:val="center"/>
        <w:rPr>
          <w:rFonts w:ascii="Times New Roman" w:eastAsia="Batang" w:hAnsi="Times New Roman" w:cs="Times New Roman"/>
          <w:bCs/>
          <w:sz w:val="24"/>
        </w:rPr>
      </w:pPr>
    </w:p>
    <w:p w14:paraId="7796BC90" w14:textId="77777777" w:rsidR="00CD36B0" w:rsidRPr="00046E87" w:rsidRDefault="00CD36B0" w:rsidP="00602C86">
      <w:pPr>
        <w:pStyle w:val="Zkladntext"/>
        <w:numPr>
          <w:ilvl w:val="0"/>
          <w:numId w:val="24"/>
        </w:numPr>
        <w:ind w:left="426" w:hanging="426"/>
        <w:jc w:val="left"/>
        <w:rPr>
          <w:rFonts w:ascii="Times New Roman" w:eastAsia="Batang" w:hAnsi="Times New Roman" w:cs="Times New Roman"/>
          <w:bCs/>
          <w:sz w:val="24"/>
        </w:rPr>
      </w:pPr>
      <w:r>
        <w:rPr>
          <w:rFonts w:ascii="Times New Roman" w:eastAsia="Batang" w:hAnsi="Times New Roman" w:cs="Times New Roman"/>
          <w:sz w:val="24"/>
        </w:rPr>
        <w:t xml:space="preserve">K pořádání akce lze využívat pouze prostor (stavbu, místo), který byl k tomuto účelu určen v souladu </w:t>
      </w:r>
      <w:r w:rsidR="00602C86">
        <w:rPr>
          <w:rFonts w:ascii="Times New Roman" w:eastAsia="Batang" w:hAnsi="Times New Roman" w:cs="Times New Roman"/>
          <w:sz w:val="24"/>
        </w:rPr>
        <w:t>se zvláštním právním předpisem, přičemž nesmí být překročen maximální počet osob prokazatelně stanovený podle čl. 2 odst. 2 písm. a) a b) t</w:t>
      </w:r>
      <w:r w:rsidR="00046E87">
        <w:rPr>
          <w:rFonts w:ascii="Times New Roman" w:eastAsia="Batang" w:hAnsi="Times New Roman" w:cs="Times New Roman"/>
          <w:sz w:val="24"/>
        </w:rPr>
        <w:t>éto vyhlášky</w:t>
      </w:r>
      <w:r w:rsidR="00602C86">
        <w:rPr>
          <w:rFonts w:ascii="Times New Roman" w:eastAsia="Batang" w:hAnsi="Times New Roman" w:cs="Times New Roman"/>
          <w:sz w:val="24"/>
        </w:rPr>
        <w:t>.</w:t>
      </w:r>
    </w:p>
    <w:p w14:paraId="6CCCC996" w14:textId="77777777" w:rsidR="00046E87" w:rsidRPr="00602C86" w:rsidRDefault="00046E87" w:rsidP="00046E87">
      <w:pPr>
        <w:pStyle w:val="Zkladntext"/>
        <w:ind w:left="426"/>
        <w:jc w:val="left"/>
        <w:rPr>
          <w:rFonts w:ascii="Times New Roman" w:eastAsia="Batang" w:hAnsi="Times New Roman" w:cs="Times New Roman"/>
          <w:bCs/>
          <w:sz w:val="24"/>
        </w:rPr>
      </w:pPr>
    </w:p>
    <w:p w14:paraId="075E6147"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K pořádání akcí podle čl. 2 odst. 2 písm. a) a písm. b) této vyhlášky zajistí organizátor akce, jako součást stanovení rozsahu a způsobu zabezpečení požární ochrany podle odst. 5) tohoto článku, zpracování identifikační karty prostoru (stavby). </w:t>
      </w:r>
    </w:p>
    <w:p w14:paraId="4AC695EB" w14:textId="77777777" w:rsidR="00602C86" w:rsidRDefault="00602C86" w:rsidP="00602C86">
      <w:pPr>
        <w:pStyle w:val="Zkladntext"/>
        <w:ind w:left="426"/>
        <w:rPr>
          <w:rFonts w:ascii="Times New Roman" w:eastAsia="Batang" w:hAnsi="Times New Roman" w:cs="Times New Roman"/>
          <w:bCs/>
          <w:sz w:val="24"/>
        </w:rPr>
      </w:pPr>
    </w:p>
    <w:p w14:paraId="3F7229E5"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lastRenderedPageBreak/>
        <w:t xml:space="preserve">V případě, že organizátor není vlastníkem prostoru (stavby, místa), kde se akce koná, kromě veřejného prostranství, musí být před započetím akce rozsah odpovědnosti stanoven smlouvou. </w:t>
      </w:r>
    </w:p>
    <w:p w14:paraId="19BE01A6" w14:textId="77777777" w:rsidR="00602C86" w:rsidRDefault="00602C86" w:rsidP="00602C86">
      <w:pPr>
        <w:pStyle w:val="Odstavecseseznamem"/>
        <w:rPr>
          <w:rFonts w:eastAsia="Batang"/>
          <w:bCs/>
        </w:rPr>
      </w:pPr>
    </w:p>
    <w:p w14:paraId="2951ED69"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Organizátor akce prokazatelně stanoví rozsah a způsob zabezpečení požární ochrany, včetně povinností a způsobu plnění úkolů všech osob podílejících se na organizačním a technickém zajištění akce a osob účastnících se akce, přičemž postupuje způsobem stanoveným zvláštním právním předpisem. </w:t>
      </w:r>
    </w:p>
    <w:p w14:paraId="470DA026" w14:textId="77777777" w:rsidR="00602C86" w:rsidRDefault="00602C86" w:rsidP="00602C86">
      <w:pPr>
        <w:pStyle w:val="Odstavecseseznamem"/>
        <w:rPr>
          <w:rFonts w:eastAsia="Batang"/>
          <w:bCs/>
        </w:rPr>
      </w:pPr>
    </w:p>
    <w:p w14:paraId="70C5A4D3"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V případě pořádání akcí opakovaně na tomtéž místě za shodných podmínek lze stanovit rozsah a způsob zabezpečení požární ochrany pro určený počet akcí jednotně, přičemž před každou jednotlivou akcí musí být provedena kontrola dodržování stanovených podmínek požární bezpečnosti podle odst. 10 včetně odstranění zjištěných závad. </w:t>
      </w:r>
    </w:p>
    <w:p w14:paraId="69511661" w14:textId="77777777" w:rsidR="00602C86" w:rsidRDefault="00602C86" w:rsidP="00602C86">
      <w:pPr>
        <w:pStyle w:val="Odstavecseseznamem"/>
        <w:rPr>
          <w:rFonts w:eastAsia="Batang"/>
          <w:bCs/>
        </w:rPr>
      </w:pPr>
    </w:p>
    <w:p w14:paraId="66D47E72" w14:textId="77777777" w:rsidR="00CE4495"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zřizuje preventivní požární hlídku, a pokud to vyžaduje povaha akce (např. rozlehlost místa konání, počet účastníků, možnosti úniku osob), zřizuje větší počet preventivních požárních hlídek. Preventivní požární hlídka je zpravidla složena z velitele a dvou členů. Je-li organizátorem akce fyzická osoba, pak povinnosti k zajištění požární</w:t>
      </w:r>
      <w:r w:rsidR="00CE4495">
        <w:rPr>
          <w:rFonts w:ascii="Times New Roman" w:eastAsia="Batang" w:hAnsi="Times New Roman" w:cs="Times New Roman"/>
          <w:bCs/>
          <w:sz w:val="24"/>
        </w:rPr>
        <w:t xml:space="preserve"> bezpečnosti akce stanovené t</w:t>
      </w:r>
      <w:r w:rsidR="001C006A">
        <w:rPr>
          <w:rFonts w:ascii="Times New Roman" w:eastAsia="Batang" w:hAnsi="Times New Roman" w:cs="Times New Roman"/>
          <w:bCs/>
          <w:sz w:val="24"/>
        </w:rPr>
        <w:t>outo vyhláškou</w:t>
      </w:r>
      <w:r w:rsidR="00CE4495">
        <w:rPr>
          <w:rFonts w:ascii="Times New Roman" w:eastAsia="Batang" w:hAnsi="Times New Roman" w:cs="Times New Roman"/>
          <w:bCs/>
          <w:sz w:val="24"/>
        </w:rPr>
        <w:t xml:space="preserve"> preventivní požární hlídce zabezpečí tato fyzická osoba prostřednictvím potřebného počtu způsobilých pořadatelů. Čl</w:t>
      </w:r>
      <w:r w:rsidR="005A7BA6">
        <w:rPr>
          <w:rFonts w:ascii="Times New Roman" w:eastAsia="Batang" w:hAnsi="Times New Roman" w:cs="Times New Roman"/>
          <w:bCs/>
          <w:sz w:val="24"/>
        </w:rPr>
        <w:t>e</w:t>
      </w:r>
      <w:r w:rsidR="00CE4495">
        <w:rPr>
          <w:rFonts w:ascii="Times New Roman" w:eastAsia="Batang" w:hAnsi="Times New Roman" w:cs="Times New Roman"/>
          <w:bCs/>
          <w:sz w:val="24"/>
        </w:rPr>
        <w:t>nové požární hlídky musí být označení červenou rukávovou páskou s nápisem „požární hlídka“ na levém předloktí.</w:t>
      </w:r>
    </w:p>
    <w:p w14:paraId="0103DB3F" w14:textId="77777777" w:rsidR="00CE4495" w:rsidRDefault="00CE4495" w:rsidP="00CE4495">
      <w:pPr>
        <w:pStyle w:val="Odstavecseseznamem"/>
        <w:rPr>
          <w:rFonts w:eastAsia="Batang"/>
          <w:bCs/>
        </w:rPr>
      </w:pPr>
    </w:p>
    <w:p w14:paraId="0BFEAEB8" w14:textId="77777777" w:rsidR="005A7BA6" w:rsidRDefault="00CE4495" w:rsidP="005A7BA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zajišťuje odpovídající podmínky pro činnost preventivních požárních hlídek zejména aby:</w:t>
      </w:r>
    </w:p>
    <w:p w14:paraId="4481907A" w14:textId="77777777" w:rsidR="005A7BA6" w:rsidRPr="005A7BA6" w:rsidRDefault="005A7BA6" w:rsidP="005A7BA6">
      <w:pPr>
        <w:pStyle w:val="Zkladntext"/>
        <w:rPr>
          <w:rFonts w:ascii="Times New Roman" w:eastAsia="Batang" w:hAnsi="Times New Roman" w:cs="Times New Roman"/>
          <w:bCs/>
          <w:sz w:val="24"/>
        </w:rPr>
      </w:pPr>
    </w:p>
    <w:p w14:paraId="3990702D" w14:textId="77777777" w:rsidR="005A7BA6" w:rsidRDefault="005A7BA6" w:rsidP="005A7BA6">
      <w:pPr>
        <w:pStyle w:val="Zkladntext"/>
        <w:numPr>
          <w:ilvl w:val="0"/>
          <w:numId w:val="26"/>
        </w:numPr>
        <w:rPr>
          <w:rFonts w:ascii="Times New Roman" w:eastAsia="Batang" w:hAnsi="Times New Roman" w:cs="Times New Roman"/>
          <w:bCs/>
          <w:sz w:val="24"/>
        </w:rPr>
      </w:pPr>
      <w:r>
        <w:rPr>
          <w:rFonts w:ascii="Times New Roman" w:eastAsia="Batang" w:hAnsi="Times New Roman" w:cs="Times New Roman"/>
          <w:bCs/>
          <w:sz w:val="24"/>
        </w:rPr>
        <w:t>činnost v preventivní požární hlídce vykonávaly pouze osoby, které absolvovaly odbornou přípravu,</w:t>
      </w:r>
    </w:p>
    <w:p w14:paraId="752C3407" w14:textId="77777777" w:rsidR="005A7BA6" w:rsidRDefault="005A7BA6" w:rsidP="005A7BA6">
      <w:pPr>
        <w:pStyle w:val="Zkladntext"/>
        <w:numPr>
          <w:ilvl w:val="0"/>
          <w:numId w:val="26"/>
        </w:numPr>
        <w:rPr>
          <w:rFonts w:ascii="Times New Roman" w:eastAsia="Batang" w:hAnsi="Times New Roman" w:cs="Times New Roman"/>
          <w:bCs/>
          <w:sz w:val="24"/>
        </w:rPr>
      </w:pPr>
      <w:r>
        <w:rPr>
          <w:rFonts w:ascii="Times New Roman" w:eastAsia="Batang" w:hAnsi="Times New Roman" w:cs="Times New Roman"/>
          <w:bCs/>
          <w:sz w:val="24"/>
        </w:rPr>
        <w:t>byly vymezeny úkoly preventivní požární hlídky včetně určení stanoviště, přičemž úkoly musí být stanoveny tak, aby je bylo možné velitelem a členy preventivní požární hlídky obsáhnout a byly stanoveny vždy ke konkrétní fyzické osobě,</w:t>
      </w:r>
    </w:p>
    <w:p w14:paraId="3BD4EDE6" w14:textId="77777777" w:rsidR="005A7BA6" w:rsidRDefault="005A7BA6" w:rsidP="005A7BA6">
      <w:pPr>
        <w:pStyle w:val="Zkladntext"/>
        <w:numPr>
          <w:ilvl w:val="0"/>
          <w:numId w:val="26"/>
        </w:numPr>
        <w:rPr>
          <w:rFonts w:ascii="Times New Roman" w:eastAsia="Batang" w:hAnsi="Times New Roman" w:cs="Times New Roman"/>
          <w:bCs/>
          <w:sz w:val="24"/>
        </w:rPr>
      </w:pPr>
      <w:r>
        <w:rPr>
          <w:rFonts w:ascii="Times New Roman" w:eastAsia="Batang" w:hAnsi="Times New Roman" w:cs="Times New Roman"/>
          <w:bCs/>
          <w:sz w:val="24"/>
        </w:rPr>
        <w:t>byl stanoven a zabezpečen mezi velitelem a členy preventivní požární hlídky v případě většího po</w:t>
      </w:r>
      <w:r w:rsidR="001C006A">
        <w:rPr>
          <w:rFonts w:ascii="Times New Roman" w:eastAsia="Batang" w:hAnsi="Times New Roman" w:cs="Times New Roman"/>
          <w:bCs/>
          <w:sz w:val="24"/>
        </w:rPr>
        <w:t>č</w:t>
      </w:r>
      <w:r>
        <w:rPr>
          <w:rFonts w:ascii="Times New Roman" w:eastAsia="Batang" w:hAnsi="Times New Roman" w:cs="Times New Roman"/>
          <w:bCs/>
          <w:sz w:val="24"/>
        </w:rPr>
        <w:t xml:space="preserve">tu preventivních požárních hlídek i mezi veliteli preventivních požárních hlídek, funkční způsob komunikace pro průběh akce k zajištění neodkladného předávání informací. </w:t>
      </w:r>
    </w:p>
    <w:p w14:paraId="72B7660C" w14:textId="77777777" w:rsidR="00CE4495" w:rsidRDefault="00CE4495" w:rsidP="00CE4495">
      <w:pPr>
        <w:pStyle w:val="Odstavecseseznamem"/>
        <w:rPr>
          <w:rFonts w:eastAsia="Batang"/>
          <w:bCs/>
        </w:rPr>
      </w:pPr>
    </w:p>
    <w:p w14:paraId="00D2BDDE"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 </w:t>
      </w:r>
      <w:r w:rsidR="00CE4495">
        <w:rPr>
          <w:rFonts w:ascii="Times New Roman" w:eastAsia="Batang" w:hAnsi="Times New Roman" w:cs="Times New Roman"/>
          <w:bCs/>
          <w:sz w:val="24"/>
        </w:rPr>
        <w:t>Organizátor akce seznámí odpovídajícím způsobem a v potřebném rozsahu se stanovenými opatřeními k zabezpečení požární ochrany:</w:t>
      </w:r>
    </w:p>
    <w:p w14:paraId="2FCAA984" w14:textId="77777777" w:rsidR="00BB3254" w:rsidRDefault="00BB3254" w:rsidP="00BB3254">
      <w:pPr>
        <w:pStyle w:val="Zkladntext"/>
        <w:rPr>
          <w:rFonts w:ascii="Times New Roman" w:eastAsia="Batang" w:hAnsi="Times New Roman" w:cs="Times New Roman"/>
          <w:bCs/>
          <w:sz w:val="24"/>
        </w:rPr>
      </w:pPr>
    </w:p>
    <w:p w14:paraId="0CD60BD1" w14:textId="77777777" w:rsidR="00BB3254" w:rsidRDefault="00BB3254" w:rsidP="00BB3254">
      <w:pPr>
        <w:pStyle w:val="Zkladntext"/>
        <w:numPr>
          <w:ilvl w:val="0"/>
          <w:numId w:val="27"/>
        </w:numPr>
        <w:rPr>
          <w:rFonts w:ascii="Times New Roman" w:eastAsia="Batang" w:hAnsi="Times New Roman" w:cs="Times New Roman"/>
          <w:bCs/>
          <w:sz w:val="24"/>
        </w:rPr>
      </w:pPr>
      <w:r>
        <w:rPr>
          <w:rFonts w:ascii="Times New Roman" w:eastAsia="Batang" w:hAnsi="Times New Roman" w:cs="Times New Roman"/>
          <w:bCs/>
          <w:sz w:val="24"/>
        </w:rPr>
        <w:t>účastníky akce (např. rozmístěním informačních a bezpečnostních značek, značení a tabulek, upozorněním na omezení, které může být součástí pozvánky či prezentace akce),</w:t>
      </w:r>
    </w:p>
    <w:p w14:paraId="0A900E42" w14:textId="77777777" w:rsidR="00BB3254" w:rsidRDefault="00BB3254" w:rsidP="00BB3254">
      <w:pPr>
        <w:pStyle w:val="Zkladntext"/>
        <w:numPr>
          <w:ilvl w:val="0"/>
          <w:numId w:val="27"/>
        </w:numPr>
        <w:rPr>
          <w:rFonts w:ascii="Times New Roman" w:eastAsia="Batang" w:hAnsi="Times New Roman" w:cs="Times New Roman"/>
          <w:bCs/>
          <w:sz w:val="24"/>
        </w:rPr>
      </w:pPr>
      <w:r>
        <w:rPr>
          <w:rFonts w:ascii="Times New Roman" w:eastAsia="Batang" w:hAnsi="Times New Roman" w:cs="Times New Roman"/>
          <w:bCs/>
          <w:sz w:val="24"/>
        </w:rPr>
        <w:t>osoby podílející se na zabezpečení akce (např. preventivní požární hlídky, pořadatelská služb</w:t>
      </w:r>
      <w:r w:rsidR="001C006A">
        <w:rPr>
          <w:rFonts w:ascii="Times New Roman" w:eastAsia="Batang" w:hAnsi="Times New Roman" w:cs="Times New Roman"/>
          <w:bCs/>
          <w:sz w:val="24"/>
        </w:rPr>
        <w:t>a</w:t>
      </w:r>
      <w:r>
        <w:rPr>
          <w:rFonts w:ascii="Times New Roman" w:eastAsia="Batang" w:hAnsi="Times New Roman" w:cs="Times New Roman"/>
          <w:bCs/>
          <w:sz w:val="24"/>
        </w:rPr>
        <w:t>),</w:t>
      </w:r>
    </w:p>
    <w:p w14:paraId="537FB415" w14:textId="77777777" w:rsidR="00373BD3" w:rsidRDefault="00BB3254" w:rsidP="00373BD3">
      <w:pPr>
        <w:pStyle w:val="Zkladntext"/>
        <w:numPr>
          <w:ilvl w:val="0"/>
          <w:numId w:val="27"/>
        </w:numPr>
        <w:rPr>
          <w:rFonts w:ascii="Times New Roman" w:eastAsia="Batang" w:hAnsi="Times New Roman" w:cs="Times New Roman"/>
          <w:bCs/>
          <w:sz w:val="24"/>
        </w:rPr>
      </w:pPr>
      <w:r>
        <w:rPr>
          <w:rFonts w:ascii="Times New Roman" w:eastAsia="Batang" w:hAnsi="Times New Roman" w:cs="Times New Roman"/>
          <w:bCs/>
          <w:sz w:val="24"/>
        </w:rPr>
        <w:t xml:space="preserve">účinkující (např. osoby zajišťující program a vystoupení, prodejci včetně všech osob zajišťující pro ně technické zázemí). </w:t>
      </w:r>
    </w:p>
    <w:p w14:paraId="652C715D" w14:textId="77777777" w:rsidR="00D20361" w:rsidRPr="00BB3254" w:rsidRDefault="00D20361" w:rsidP="00D20361">
      <w:pPr>
        <w:pStyle w:val="Zkladntext"/>
        <w:ind w:left="1068"/>
        <w:rPr>
          <w:rFonts w:ascii="Times New Roman" w:eastAsia="Batang" w:hAnsi="Times New Roman" w:cs="Times New Roman"/>
          <w:bCs/>
          <w:sz w:val="24"/>
        </w:rPr>
      </w:pPr>
    </w:p>
    <w:p w14:paraId="7505FC4F" w14:textId="77777777" w:rsidR="00373BD3" w:rsidRDefault="00BB3254"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zajistí kontrolu plnění stanovených podmínek požární bezpečnosti pro akci – před zahájením (včetně přípravných činností), v průběhu a při ukončení akce.</w:t>
      </w:r>
    </w:p>
    <w:p w14:paraId="01AD68C0" w14:textId="77777777" w:rsidR="00BB3254" w:rsidRDefault="00BB3254" w:rsidP="00BB3254">
      <w:pPr>
        <w:pStyle w:val="Zkladntext"/>
        <w:ind w:left="426"/>
        <w:rPr>
          <w:rFonts w:ascii="Times New Roman" w:eastAsia="Batang" w:hAnsi="Times New Roman" w:cs="Times New Roman"/>
          <w:bCs/>
          <w:sz w:val="24"/>
        </w:rPr>
      </w:pPr>
      <w:r>
        <w:rPr>
          <w:rFonts w:ascii="Times New Roman" w:eastAsia="Batang" w:hAnsi="Times New Roman" w:cs="Times New Roman"/>
          <w:bCs/>
          <w:sz w:val="24"/>
        </w:rPr>
        <w:t>V případě, že:</w:t>
      </w:r>
    </w:p>
    <w:p w14:paraId="74983F93" w14:textId="77777777" w:rsidR="00BB3254" w:rsidRDefault="00BB3254" w:rsidP="00BB3254">
      <w:pPr>
        <w:pStyle w:val="Zkladntext"/>
        <w:ind w:left="426"/>
        <w:rPr>
          <w:rFonts w:ascii="Times New Roman" w:eastAsia="Batang" w:hAnsi="Times New Roman" w:cs="Times New Roman"/>
          <w:bCs/>
          <w:sz w:val="24"/>
        </w:rPr>
      </w:pPr>
    </w:p>
    <w:p w14:paraId="0FCBE298" w14:textId="77777777" w:rsidR="00BB3254" w:rsidRDefault="00C305D9" w:rsidP="00BB3254">
      <w:pPr>
        <w:pStyle w:val="Zkladntext"/>
        <w:numPr>
          <w:ilvl w:val="0"/>
          <w:numId w:val="29"/>
        </w:numPr>
        <w:rPr>
          <w:rFonts w:ascii="Times New Roman" w:eastAsia="Batang" w:hAnsi="Times New Roman" w:cs="Times New Roman"/>
          <w:bCs/>
          <w:sz w:val="24"/>
        </w:rPr>
      </w:pPr>
      <w:r>
        <w:rPr>
          <w:rFonts w:ascii="Times New Roman" w:eastAsia="Batang" w:hAnsi="Times New Roman" w:cs="Times New Roman"/>
          <w:bCs/>
          <w:sz w:val="24"/>
        </w:rPr>
        <w:t>b</w:t>
      </w:r>
      <w:r w:rsidR="00BB3254">
        <w:rPr>
          <w:rFonts w:ascii="Times New Roman" w:eastAsia="Batang" w:hAnsi="Times New Roman" w:cs="Times New Roman"/>
          <w:bCs/>
          <w:sz w:val="24"/>
        </w:rPr>
        <w:t>yly při kontrole před zahájením akce zjištěny závažné nedostatky a tyto nebyly odstraněny – organizátor akci nezahájí,</w:t>
      </w:r>
    </w:p>
    <w:p w14:paraId="1BC092E6" w14:textId="77777777" w:rsidR="00BB3254" w:rsidRDefault="00D20361" w:rsidP="00BB3254">
      <w:pPr>
        <w:pStyle w:val="Zkladntext"/>
        <w:numPr>
          <w:ilvl w:val="0"/>
          <w:numId w:val="29"/>
        </w:numPr>
        <w:rPr>
          <w:rFonts w:ascii="Times New Roman" w:eastAsia="Batang" w:hAnsi="Times New Roman" w:cs="Times New Roman"/>
          <w:bCs/>
          <w:sz w:val="24"/>
        </w:rPr>
      </w:pPr>
      <w:r>
        <w:rPr>
          <w:rFonts w:ascii="Times New Roman" w:eastAsia="Batang" w:hAnsi="Times New Roman" w:cs="Times New Roman"/>
          <w:bCs/>
          <w:sz w:val="24"/>
        </w:rPr>
        <w:t>v</w:t>
      </w:r>
      <w:r w:rsidR="00BB3254">
        <w:rPr>
          <w:rFonts w:ascii="Times New Roman" w:eastAsia="Batang" w:hAnsi="Times New Roman" w:cs="Times New Roman"/>
          <w:bCs/>
          <w:sz w:val="24"/>
        </w:rPr>
        <w:t> průběhu akce nastane situace, která vyvolá bezprostřední nebezpečí vzniku požáru a k odstranění tohoto nebezpeční nestačí jiná opatření – organizátor akci přeruší, popř. ukončí;</w:t>
      </w:r>
      <w:r w:rsidR="00C305D9">
        <w:rPr>
          <w:rFonts w:ascii="Times New Roman" w:eastAsia="Batang" w:hAnsi="Times New Roman" w:cs="Times New Roman"/>
          <w:bCs/>
          <w:sz w:val="24"/>
        </w:rPr>
        <w:t xml:space="preserve"> přerušení nebo ukončení akce organizátor akce zabezpečí i tehdy, jestliže by v případě vzniku požáru byl ohrožen nebo znemožněn únik či záchrana osob, zvířat či majetku. </w:t>
      </w:r>
    </w:p>
    <w:p w14:paraId="45D04571" w14:textId="77777777" w:rsidR="00BB3254" w:rsidRDefault="00BB3254" w:rsidP="00C305D9">
      <w:pPr>
        <w:pStyle w:val="Zkladntext"/>
        <w:rPr>
          <w:rFonts w:ascii="Times New Roman" w:eastAsia="Batang" w:hAnsi="Times New Roman" w:cs="Times New Roman"/>
          <w:bCs/>
          <w:sz w:val="24"/>
        </w:rPr>
      </w:pPr>
    </w:p>
    <w:p w14:paraId="6204C941" w14:textId="77777777" w:rsidR="00C305D9" w:rsidRDefault="00C305D9" w:rsidP="00C305D9">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 K vytvoření podmínek pro hašení požáru a pro záchranné práce organizátor akce dále zajistí:</w:t>
      </w:r>
    </w:p>
    <w:p w14:paraId="6CA9AE35" w14:textId="77777777" w:rsidR="00C305D9" w:rsidRDefault="00C305D9" w:rsidP="00C305D9">
      <w:pPr>
        <w:pStyle w:val="Zkladntext"/>
        <w:rPr>
          <w:rFonts w:ascii="Times New Roman" w:eastAsia="Batang" w:hAnsi="Times New Roman" w:cs="Times New Roman"/>
          <w:bCs/>
          <w:sz w:val="24"/>
        </w:rPr>
      </w:pPr>
    </w:p>
    <w:p w14:paraId="448D212A" w14:textId="77777777" w:rsidR="00C305D9" w:rsidRDefault="00A3103E" w:rsidP="00C305D9">
      <w:pPr>
        <w:pStyle w:val="Zkladntext"/>
        <w:numPr>
          <w:ilvl w:val="0"/>
          <w:numId w:val="31"/>
        </w:numPr>
        <w:rPr>
          <w:rFonts w:ascii="Times New Roman" w:eastAsia="Batang" w:hAnsi="Times New Roman" w:cs="Times New Roman"/>
          <w:bCs/>
          <w:sz w:val="24"/>
        </w:rPr>
      </w:pPr>
      <w:r>
        <w:rPr>
          <w:rFonts w:ascii="Times New Roman" w:eastAsia="Batang" w:hAnsi="Times New Roman" w:cs="Times New Roman"/>
          <w:bCs/>
          <w:sz w:val="24"/>
        </w:rPr>
        <w:t>v</w:t>
      </w:r>
      <w:r w:rsidR="00C305D9">
        <w:rPr>
          <w:rFonts w:ascii="Times New Roman" w:eastAsia="Batang" w:hAnsi="Times New Roman" w:cs="Times New Roman"/>
          <w:bCs/>
          <w:sz w:val="24"/>
        </w:rPr>
        <w:t>ymezení prostoru pro příjezd a umístění mobilní požární techniky jednotek požární ochrany, a to vždy i v případě akce konané ve venkovním shromažďovacím prostoru, musí být vyznačen zákaz parkování vozidel v místech, kde by bránila či omezovala příjezdu mobilní požární techniky, východů</w:t>
      </w:r>
      <w:r>
        <w:rPr>
          <w:rFonts w:ascii="Times New Roman" w:eastAsia="Batang" w:hAnsi="Times New Roman" w:cs="Times New Roman"/>
          <w:bCs/>
          <w:sz w:val="24"/>
        </w:rPr>
        <w:t>m</w:t>
      </w:r>
      <w:r w:rsidR="00C305D9">
        <w:rPr>
          <w:rFonts w:ascii="Times New Roman" w:eastAsia="Batang" w:hAnsi="Times New Roman" w:cs="Times New Roman"/>
          <w:bCs/>
          <w:sz w:val="24"/>
        </w:rPr>
        <w:t xml:space="preserve"> z prostor (stavby), které mají sloužit k úniku nebo evakuaci, znemožnila použití odběrného místa požární vody, </w:t>
      </w:r>
    </w:p>
    <w:p w14:paraId="753E101C" w14:textId="77777777" w:rsidR="00C305D9" w:rsidRDefault="00A3103E" w:rsidP="00C305D9">
      <w:pPr>
        <w:pStyle w:val="Zkladntext"/>
        <w:numPr>
          <w:ilvl w:val="0"/>
          <w:numId w:val="31"/>
        </w:numPr>
        <w:rPr>
          <w:rFonts w:ascii="Times New Roman" w:eastAsia="Batang" w:hAnsi="Times New Roman" w:cs="Times New Roman"/>
          <w:bCs/>
          <w:sz w:val="24"/>
        </w:rPr>
      </w:pPr>
      <w:r>
        <w:rPr>
          <w:rFonts w:ascii="Times New Roman" w:eastAsia="Batang" w:hAnsi="Times New Roman" w:cs="Times New Roman"/>
          <w:bCs/>
          <w:sz w:val="24"/>
        </w:rPr>
        <w:t>u</w:t>
      </w:r>
      <w:r w:rsidR="00C305D9">
        <w:rPr>
          <w:rFonts w:ascii="Times New Roman" w:eastAsia="Batang" w:hAnsi="Times New Roman" w:cs="Times New Roman"/>
          <w:bCs/>
          <w:sz w:val="24"/>
        </w:rPr>
        <w:t>místění atrakcí (např. pouťových, prodejních míst nebo stánků, ukázek služeb apod.</w:t>
      </w:r>
      <w:r w:rsidR="00052584">
        <w:rPr>
          <w:rFonts w:ascii="Times New Roman" w:eastAsia="Batang" w:hAnsi="Times New Roman" w:cs="Times New Roman"/>
          <w:bCs/>
          <w:sz w:val="24"/>
        </w:rPr>
        <w:t>)</w:t>
      </w:r>
      <w:r w:rsidR="00C305D9">
        <w:rPr>
          <w:rFonts w:ascii="Times New Roman" w:eastAsia="Batang" w:hAnsi="Times New Roman" w:cs="Times New Roman"/>
          <w:bCs/>
          <w:sz w:val="24"/>
        </w:rPr>
        <w:t xml:space="preserve"> tak, aby byl umožněn průjezd požární techniky, aby nedošlo k zastavení nebo omezení přístupu k požárně bezpečnostním zařízením nebo věcným prostředkům požární ochrany, které jsou potřebné k provedení zásahu,</w:t>
      </w:r>
    </w:p>
    <w:p w14:paraId="68FD09CA" w14:textId="77777777" w:rsidR="00C305D9" w:rsidRPr="00C305D9" w:rsidRDefault="00A3103E" w:rsidP="00C305D9">
      <w:pPr>
        <w:pStyle w:val="Zkladntext"/>
        <w:numPr>
          <w:ilvl w:val="0"/>
          <w:numId w:val="31"/>
        </w:numPr>
        <w:rPr>
          <w:rFonts w:ascii="Times New Roman" w:eastAsia="Batang" w:hAnsi="Times New Roman" w:cs="Times New Roman"/>
          <w:bCs/>
          <w:sz w:val="24"/>
        </w:rPr>
      </w:pPr>
      <w:r>
        <w:rPr>
          <w:rFonts w:ascii="Times New Roman" w:eastAsia="Batang" w:hAnsi="Times New Roman" w:cs="Times New Roman"/>
          <w:bCs/>
          <w:sz w:val="24"/>
        </w:rPr>
        <w:t>r</w:t>
      </w:r>
      <w:r w:rsidR="00C305D9">
        <w:rPr>
          <w:rFonts w:ascii="Times New Roman" w:eastAsia="Batang" w:hAnsi="Times New Roman" w:cs="Times New Roman"/>
          <w:bCs/>
          <w:sz w:val="24"/>
        </w:rPr>
        <w:t>ozmístění a umístění hasicích přístrojů v potřebném množství a druzích na vhodných a dobře přístupných místech.</w:t>
      </w:r>
    </w:p>
    <w:p w14:paraId="4E6D81E5" w14:textId="77777777" w:rsidR="003556CC" w:rsidRDefault="003556CC" w:rsidP="003556CC">
      <w:pPr>
        <w:pStyle w:val="Zkladntext"/>
        <w:rPr>
          <w:rFonts w:ascii="Times New Roman" w:eastAsia="Batang" w:hAnsi="Times New Roman" w:cs="Times New Roman"/>
          <w:bCs/>
          <w:sz w:val="24"/>
        </w:rPr>
      </w:pPr>
    </w:p>
    <w:p w14:paraId="5A1CFD2A" w14:textId="77777777" w:rsidR="003556CC" w:rsidRDefault="003556CC" w:rsidP="003556CC">
      <w:pPr>
        <w:pStyle w:val="Zkladntext"/>
        <w:numPr>
          <w:ilvl w:val="0"/>
          <w:numId w:val="24"/>
        </w:numPr>
        <w:tabs>
          <w:tab w:val="left" w:pos="567"/>
        </w:tabs>
        <w:ind w:left="567" w:hanging="567"/>
        <w:rPr>
          <w:rFonts w:ascii="Times New Roman" w:eastAsia="Batang" w:hAnsi="Times New Roman" w:cs="Times New Roman"/>
          <w:bCs/>
          <w:sz w:val="24"/>
        </w:rPr>
      </w:pPr>
      <w:r>
        <w:rPr>
          <w:rFonts w:ascii="Times New Roman" w:eastAsia="Batang" w:hAnsi="Times New Roman" w:cs="Times New Roman"/>
          <w:bCs/>
          <w:sz w:val="24"/>
        </w:rPr>
        <w:t>Pro případy</w:t>
      </w:r>
      <w:r w:rsidR="0041627B">
        <w:rPr>
          <w:rFonts w:ascii="Times New Roman" w:eastAsia="Batang" w:hAnsi="Times New Roman" w:cs="Times New Roman"/>
          <w:bCs/>
          <w:sz w:val="24"/>
        </w:rPr>
        <w:t>,</w:t>
      </w:r>
      <w:r>
        <w:rPr>
          <w:rFonts w:ascii="Times New Roman" w:eastAsia="Batang" w:hAnsi="Times New Roman" w:cs="Times New Roman"/>
          <w:bCs/>
          <w:sz w:val="24"/>
        </w:rPr>
        <w:t xml:space="preserve"> kdy účastník akce (fyzická osoba) nedbá podmínek těchto pravidel, pokynů organizátora, preventivní požární hlídky nebo členů pořadatelské služby týkající se požární bezpečnosti při akci, organizátor akce zabezpečí postup pro vyloučení takové fyzické osoby z účasti na akci. </w:t>
      </w:r>
    </w:p>
    <w:p w14:paraId="25291F55" w14:textId="77777777" w:rsidR="00BB3254" w:rsidRDefault="00BB3254" w:rsidP="00D20361">
      <w:pPr>
        <w:pStyle w:val="Zkladntext"/>
        <w:rPr>
          <w:rFonts w:ascii="Times New Roman" w:eastAsia="Batang" w:hAnsi="Times New Roman" w:cs="Times New Roman"/>
          <w:bCs/>
          <w:sz w:val="24"/>
        </w:rPr>
      </w:pPr>
    </w:p>
    <w:p w14:paraId="35A3C903" w14:textId="77777777" w:rsidR="003556CC" w:rsidRPr="003765A6" w:rsidRDefault="003556CC" w:rsidP="003556CC">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Čl</w:t>
      </w:r>
      <w:r>
        <w:rPr>
          <w:rFonts w:ascii="Times New Roman" w:eastAsia="Batang" w:hAnsi="Times New Roman" w:cs="Times New Roman"/>
          <w:b/>
          <w:sz w:val="24"/>
        </w:rPr>
        <w:t>. 4</w:t>
      </w:r>
    </w:p>
    <w:p w14:paraId="6763365A" w14:textId="77777777" w:rsidR="003556CC" w:rsidRDefault="003556CC" w:rsidP="003556CC">
      <w:pPr>
        <w:pStyle w:val="Zkladntext"/>
        <w:jc w:val="center"/>
        <w:rPr>
          <w:rFonts w:ascii="Times New Roman" w:eastAsia="Batang" w:hAnsi="Times New Roman" w:cs="Times New Roman"/>
          <w:b/>
          <w:sz w:val="24"/>
        </w:rPr>
      </w:pPr>
      <w:r>
        <w:rPr>
          <w:rFonts w:ascii="Times New Roman" w:eastAsia="Batang" w:hAnsi="Times New Roman" w:cs="Times New Roman"/>
          <w:b/>
          <w:sz w:val="24"/>
        </w:rPr>
        <w:t xml:space="preserve">Podmínky požární bezpečnosti ve zvláštních případech </w:t>
      </w:r>
    </w:p>
    <w:p w14:paraId="642918B9" w14:textId="77777777" w:rsidR="003556CC" w:rsidRPr="00CD36B0" w:rsidRDefault="003556CC" w:rsidP="003556CC">
      <w:pPr>
        <w:pStyle w:val="Zkladntext"/>
        <w:jc w:val="center"/>
        <w:rPr>
          <w:rFonts w:ascii="Times New Roman" w:eastAsia="Batang" w:hAnsi="Times New Roman" w:cs="Times New Roman"/>
          <w:bCs/>
          <w:sz w:val="24"/>
        </w:rPr>
      </w:pPr>
    </w:p>
    <w:p w14:paraId="17A65EFB" w14:textId="77777777" w:rsidR="00BB3254" w:rsidRDefault="00BB3254" w:rsidP="00BB3254">
      <w:pPr>
        <w:pStyle w:val="Zkladntext"/>
        <w:ind w:left="426"/>
        <w:rPr>
          <w:rFonts w:ascii="Times New Roman" w:eastAsia="Batang" w:hAnsi="Times New Roman" w:cs="Times New Roman"/>
          <w:bCs/>
          <w:sz w:val="24"/>
        </w:rPr>
      </w:pPr>
    </w:p>
    <w:p w14:paraId="64967AA1" w14:textId="77777777" w:rsidR="005A7BA6" w:rsidRDefault="003556CC" w:rsidP="003556CC">
      <w:pPr>
        <w:pStyle w:val="Zkladntext"/>
        <w:numPr>
          <w:ilvl w:val="0"/>
          <w:numId w:val="33"/>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Při akcích ve vnitřním shromažďovacím prostoru, jejichž součástí (tj. součástí programu, produkce, představení) jsou efekty s otevřeným ohněm nebo obdobným možným zdrojem zapálení (žhavé částice, žhavé předměty apod.), musí být zajištěna opatření dle čl. 3 odst. 5 této vyhlášky, přičemž musí být brán zřetel i na úpravu hořlavých látek (např. scénických staveb, dekorací a textilií) ke snížení jejich hořlavosti. </w:t>
      </w:r>
    </w:p>
    <w:p w14:paraId="7BEB5C35" w14:textId="77777777" w:rsidR="00D74365" w:rsidRDefault="00D74365" w:rsidP="00D74365">
      <w:pPr>
        <w:pStyle w:val="Zkladntext"/>
        <w:ind w:left="567"/>
        <w:rPr>
          <w:rFonts w:ascii="Times New Roman" w:eastAsia="Batang" w:hAnsi="Times New Roman" w:cs="Times New Roman"/>
          <w:bCs/>
          <w:sz w:val="24"/>
        </w:rPr>
      </w:pPr>
    </w:p>
    <w:p w14:paraId="0F3D68C6" w14:textId="77777777" w:rsidR="00D74365" w:rsidRPr="00D74365" w:rsidRDefault="00D74365" w:rsidP="00D74365">
      <w:pPr>
        <w:pStyle w:val="Zkladntext"/>
        <w:numPr>
          <w:ilvl w:val="0"/>
          <w:numId w:val="33"/>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V prostorách, kde bylo jako součást stavby na základě dokumentace ověřené stavebním úřadem realizováno zvýšení požární odolnosti stavebních konstrukcí snížením hořlavosti stavebních hmot nebo snížení hořlavosti scénických materiálů, musí být při kontrole podle čl. 3 odst. 6 této vyhlášky před zahájením akce k dispozici doklady o existenci a dodržení těchto úprav a o provozuschopnosti požárně bezpečnostních zařízení a věcných prostředků požární ochrany. </w:t>
      </w:r>
    </w:p>
    <w:p w14:paraId="41E92FCC" w14:textId="77777777" w:rsidR="00D74365" w:rsidRDefault="00D74365" w:rsidP="00D74365">
      <w:pPr>
        <w:pStyle w:val="Odstavecseseznamem"/>
        <w:rPr>
          <w:rFonts w:eastAsia="Batang"/>
          <w:bCs/>
        </w:rPr>
      </w:pPr>
    </w:p>
    <w:p w14:paraId="29DB83F8" w14:textId="77777777" w:rsidR="00D74365" w:rsidRDefault="00D74365" w:rsidP="00D74365">
      <w:pPr>
        <w:pStyle w:val="Zkladntext"/>
        <w:numPr>
          <w:ilvl w:val="0"/>
          <w:numId w:val="35"/>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Při akcích, jejichž součástí bude provádění některých činností, které by mohly představovat zvláštní rizika (např. pyrotechnické efekty, ohňostroje, plnění balónků plynem, elektrická zařízení ve stáncích), musí být dodržovány požadavky zvláštních </w:t>
      </w:r>
      <w:r>
        <w:rPr>
          <w:rFonts w:ascii="Times New Roman" w:eastAsia="Batang" w:hAnsi="Times New Roman" w:cs="Times New Roman"/>
          <w:bCs/>
          <w:sz w:val="24"/>
        </w:rPr>
        <w:lastRenderedPageBreak/>
        <w:t>právních předpisů a průvodní dokumentace; plnění balónků plyn</w:t>
      </w:r>
      <w:r w:rsidR="00A642F0">
        <w:rPr>
          <w:rFonts w:ascii="Times New Roman" w:eastAsia="Batang" w:hAnsi="Times New Roman" w:cs="Times New Roman"/>
          <w:bCs/>
          <w:sz w:val="24"/>
        </w:rPr>
        <w:t>y</w:t>
      </w:r>
      <w:r>
        <w:rPr>
          <w:rFonts w:ascii="Times New Roman" w:eastAsia="Batang" w:hAnsi="Times New Roman" w:cs="Times New Roman"/>
          <w:bCs/>
          <w:sz w:val="24"/>
        </w:rPr>
        <w:t xml:space="preserve">, které ve směsi se vzduchem tvoří hořlavou nebo výbušnou směs (např. vodík, acetylén) je zakázáno. </w:t>
      </w:r>
    </w:p>
    <w:p w14:paraId="65629948" w14:textId="77777777" w:rsidR="00D74365" w:rsidRDefault="00D74365" w:rsidP="00D74365">
      <w:pPr>
        <w:pStyle w:val="Zkladntext"/>
        <w:ind w:left="567" w:hanging="567"/>
        <w:rPr>
          <w:rFonts w:ascii="Times New Roman" w:eastAsia="Batang" w:hAnsi="Times New Roman" w:cs="Times New Roman"/>
          <w:bCs/>
          <w:sz w:val="24"/>
        </w:rPr>
      </w:pPr>
    </w:p>
    <w:p w14:paraId="129F5758" w14:textId="77777777" w:rsidR="00D74365" w:rsidRDefault="00D74365" w:rsidP="00D74365">
      <w:pPr>
        <w:pStyle w:val="Zkladntext"/>
        <w:rPr>
          <w:rFonts w:ascii="Times New Roman" w:eastAsia="Batang" w:hAnsi="Times New Roman" w:cs="Times New Roman"/>
          <w:bCs/>
          <w:sz w:val="24"/>
        </w:rPr>
      </w:pPr>
    </w:p>
    <w:p w14:paraId="05E68BEF" w14:textId="77777777" w:rsidR="00D74365" w:rsidRPr="00D74365" w:rsidRDefault="00D74365" w:rsidP="00D74365">
      <w:pPr>
        <w:pStyle w:val="Zkladntext"/>
        <w:jc w:val="center"/>
        <w:rPr>
          <w:rFonts w:ascii="Times New Roman" w:eastAsia="Batang" w:hAnsi="Times New Roman" w:cs="Times New Roman"/>
          <w:b/>
          <w:sz w:val="24"/>
        </w:rPr>
      </w:pPr>
      <w:r w:rsidRPr="00D74365">
        <w:rPr>
          <w:rFonts w:ascii="Times New Roman" w:eastAsia="Batang" w:hAnsi="Times New Roman" w:cs="Times New Roman"/>
          <w:b/>
          <w:sz w:val="24"/>
        </w:rPr>
        <w:t>Čl. 5</w:t>
      </w:r>
    </w:p>
    <w:p w14:paraId="789315CE" w14:textId="77777777" w:rsidR="00D74365" w:rsidRPr="00D74365" w:rsidRDefault="00D74365" w:rsidP="00D74365">
      <w:pPr>
        <w:pStyle w:val="Zkladntext"/>
        <w:jc w:val="center"/>
        <w:rPr>
          <w:rFonts w:ascii="Times New Roman" w:eastAsia="Batang" w:hAnsi="Times New Roman" w:cs="Times New Roman"/>
          <w:b/>
          <w:sz w:val="24"/>
        </w:rPr>
      </w:pPr>
      <w:r w:rsidRPr="00D74365">
        <w:rPr>
          <w:rFonts w:ascii="Times New Roman" w:eastAsia="Batang" w:hAnsi="Times New Roman" w:cs="Times New Roman"/>
          <w:b/>
          <w:sz w:val="24"/>
        </w:rPr>
        <w:t>Společná, přechodná a závěrečná ustanovení</w:t>
      </w:r>
    </w:p>
    <w:p w14:paraId="3DB872B4" w14:textId="77777777" w:rsidR="00D74365" w:rsidRDefault="00D74365" w:rsidP="00D74365">
      <w:pPr>
        <w:pStyle w:val="Zkladntext"/>
        <w:rPr>
          <w:rFonts w:ascii="Times New Roman" w:eastAsia="Batang" w:hAnsi="Times New Roman" w:cs="Times New Roman"/>
          <w:bCs/>
          <w:sz w:val="24"/>
        </w:rPr>
      </w:pPr>
    </w:p>
    <w:p w14:paraId="68152866" w14:textId="77777777" w:rsidR="00D74365"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U akcí, které budou mít charakter akce uvedené v článku 2 </w:t>
      </w:r>
      <w:r w:rsidR="006169BD">
        <w:rPr>
          <w:rFonts w:ascii="Times New Roman" w:eastAsia="Batang" w:hAnsi="Times New Roman" w:cs="Times New Roman"/>
          <w:bCs/>
          <w:sz w:val="24"/>
        </w:rPr>
        <w:t xml:space="preserve">této </w:t>
      </w:r>
      <w:r>
        <w:rPr>
          <w:rFonts w:ascii="Times New Roman" w:eastAsia="Batang" w:hAnsi="Times New Roman" w:cs="Times New Roman"/>
          <w:bCs/>
          <w:sz w:val="24"/>
        </w:rPr>
        <w:t xml:space="preserve">vyhlášky, organizátor akce předloží starostovi obce Dolní Dobrouč zprávu o zajištění podmínek požární bezpečnosti včetně předpokládaného počtu zúčastněných osob. Zprávu předkládá nejméně 5 pracovních dnů před zahájením příprav na předpokládaném místě jejího konání, písemnou formou spolu s vyjádřením velitele jednotky sboru dobrovolných hasičů obce. </w:t>
      </w:r>
    </w:p>
    <w:p w14:paraId="0EBBB610" w14:textId="77777777" w:rsidR="004175F8" w:rsidRDefault="004175F8" w:rsidP="004175F8">
      <w:pPr>
        <w:pStyle w:val="Zkladntext"/>
        <w:ind w:left="567"/>
        <w:rPr>
          <w:rFonts w:ascii="Times New Roman" w:eastAsia="Batang" w:hAnsi="Times New Roman" w:cs="Times New Roman"/>
          <w:bCs/>
          <w:sz w:val="24"/>
        </w:rPr>
      </w:pPr>
    </w:p>
    <w:p w14:paraId="52443198" w14:textId="77777777" w:rsidR="004175F8"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Účinkující a účastníci akce musí dodržovat povinnosti vyplývající z předpisů o požární ochraně, podmínek požární bezpečnosti podle těchto pravidel a dalších pokynů organizátora akce vztahujících se k zabezpečení požární ochrany, preventivní požární hlídky nebo členů pořadatelské služby týkající se požární bezpečnosti při akci. </w:t>
      </w:r>
    </w:p>
    <w:p w14:paraId="1D2F6D63" w14:textId="77777777" w:rsidR="004175F8" w:rsidRDefault="004175F8" w:rsidP="004175F8">
      <w:pPr>
        <w:pStyle w:val="Odstavecseseznamem"/>
        <w:rPr>
          <w:rFonts w:eastAsia="Batang"/>
          <w:bCs/>
        </w:rPr>
      </w:pPr>
    </w:p>
    <w:p w14:paraId="3F842849" w14:textId="77777777" w:rsidR="004175F8"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Účastníkům akce je zakázáno přinášet nebo použít při akci látku nebo předmět, které by mohly být použity jako zdroje zapálení (např. zápalná láhev). </w:t>
      </w:r>
    </w:p>
    <w:p w14:paraId="4C0A50A3" w14:textId="77777777" w:rsidR="004175F8" w:rsidRDefault="004175F8" w:rsidP="004175F8">
      <w:pPr>
        <w:pStyle w:val="Odstavecseseznamem"/>
        <w:rPr>
          <w:rFonts w:eastAsia="Batang"/>
          <w:bCs/>
        </w:rPr>
      </w:pPr>
    </w:p>
    <w:p w14:paraId="42C44812" w14:textId="77777777" w:rsidR="004175F8"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Při akci nesmí její účastníci manipulovat s prostředky, které mohou způsobit hoření a v jeho důsledku ohrožení života, zdraví a majetku. V případě běžných předmětů (např. zapalovač), obsluhy spotřebičů, zejména tepelných, elektrických, plynových a hořlavých kapalin si musí fyzická osoba počínat tak, aby nezavdala příčinu ke vzniku požáru. </w:t>
      </w:r>
    </w:p>
    <w:p w14:paraId="7F0D9F9F" w14:textId="77777777" w:rsidR="004175F8" w:rsidRDefault="004175F8" w:rsidP="004175F8">
      <w:pPr>
        <w:pStyle w:val="Odstavecseseznamem"/>
        <w:rPr>
          <w:rFonts w:eastAsia="Batang"/>
          <w:bCs/>
        </w:rPr>
      </w:pPr>
    </w:p>
    <w:p w14:paraId="48B182BC" w14:textId="77777777" w:rsidR="004175F8"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Prokazatelnost plnění povinností stanovených předpisy o požární ochraně a dodržování podmínek požární bezpečnosti zabezpečuje organizát</w:t>
      </w:r>
      <w:r w:rsidR="00AC6808">
        <w:rPr>
          <w:rFonts w:ascii="Times New Roman" w:eastAsia="Batang" w:hAnsi="Times New Roman" w:cs="Times New Roman"/>
          <w:bCs/>
          <w:sz w:val="24"/>
        </w:rPr>
        <w:t>or</w:t>
      </w:r>
      <w:r>
        <w:rPr>
          <w:rFonts w:ascii="Times New Roman" w:eastAsia="Batang" w:hAnsi="Times New Roman" w:cs="Times New Roman"/>
          <w:bCs/>
          <w:sz w:val="24"/>
        </w:rPr>
        <w:t xml:space="preserve"> akce. </w:t>
      </w:r>
    </w:p>
    <w:p w14:paraId="5CF13665" w14:textId="77777777" w:rsidR="00CD36B0" w:rsidRDefault="00CD36B0" w:rsidP="00602C86">
      <w:pPr>
        <w:pStyle w:val="Zkladntext"/>
        <w:rPr>
          <w:rFonts w:ascii="Times New Roman" w:eastAsia="Batang" w:hAnsi="Times New Roman" w:cs="Times New Roman"/>
          <w:sz w:val="24"/>
        </w:rPr>
      </w:pPr>
    </w:p>
    <w:p w14:paraId="2CC0A133" w14:textId="77777777" w:rsidR="00D36B3C" w:rsidRPr="00690354" w:rsidRDefault="00D36B3C" w:rsidP="00B6766E">
      <w:pPr>
        <w:pStyle w:val="Zkladntext"/>
        <w:rPr>
          <w:rFonts w:ascii="Times New Roman" w:eastAsia="Batang" w:hAnsi="Times New Roman" w:cs="Times New Roman"/>
          <w:sz w:val="24"/>
        </w:rPr>
      </w:pPr>
    </w:p>
    <w:p w14:paraId="74F4F991" w14:textId="77777777" w:rsidR="00EC0881" w:rsidRPr="003E32C0" w:rsidRDefault="00EC0881">
      <w:pPr>
        <w:pStyle w:val="Zkladntext"/>
        <w:jc w:val="center"/>
        <w:rPr>
          <w:rFonts w:ascii="Times New Roman" w:eastAsia="Batang" w:hAnsi="Times New Roman" w:cs="Times New Roman"/>
          <w:b/>
          <w:sz w:val="24"/>
        </w:rPr>
      </w:pPr>
      <w:r w:rsidRPr="003E32C0">
        <w:rPr>
          <w:rFonts w:ascii="Times New Roman" w:eastAsia="Batang" w:hAnsi="Times New Roman" w:cs="Times New Roman"/>
          <w:b/>
          <w:sz w:val="24"/>
        </w:rPr>
        <w:t>Čl</w:t>
      </w:r>
      <w:r w:rsidR="00C5218E">
        <w:rPr>
          <w:rFonts w:ascii="Times New Roman" w:eastAsia="Batang" w:hAnsi="Times New Roman" w:cs="Times New Roman"/>
          <w:b/>
          <w:sz w:val="24"/>
        </w:rPr>
        <w:t>.</w:t>
      </w:r>
      <w:r w:rsidRPr="003E32C0">
        <w:rPr>
          <w:rFonts w:ascii="Times New Roman" w:eastAsia="Batang" w:hAnsi="Times New Roman" w:cs="Times New Roman"/>
          <w:b/>
          <w:sz w:val="24"/>
        </w:rPr>
        <w:t xml:space="preserve"> </w:t>
      </w:r>
      <w:r w:rsidR="004175F8">
        <w:rPr>
          <w:rFonts w:ascii="Times New Roman" w:eastAsia="Batang" w:hAnsi="Times New Roman" w:cs="Times New Roman"/>
          <w:b/>
          <w:sz w:val="24"/>
        </w:rPr>
        <w:t>6</w:t>
      </w:r>
    </w:p>
    <w:p w14:paraId="751719EC" w14:textId="77777777" w:rsidR="00EC0881" w:rsidRDefault="004175F8">
      <w:pPr>
        <w:pStyle w:val="Zkladntext"/>
        <w:jc w:val="center"/>
        <w:rPr>
          <w:rFonts w:ascii="Times New Roman" w:eastAsia="Batang" w:hAnsi="Times New Roman" w:cs="Times New Roman"/>
          <w:b/>
          <w:sz w:val="24"/>
        </w:rPr>
      </w:pPr>
      <w:r>
        <w:rPr>
          <w:rFonts w:ascii="Times New Roman" w:eastAsia="Batang" w:hAnsi="Times New Roman" w:cs="Times New Roman"/>
          <w:b/>
          <w:sz w:val="24"/>
        </w:rPr>
        <w:t>Zrušovací ustanovení</w:t>
      </w:r>
    </w:p>
    <w:p w14:paraId="124A6275" w14:textId="77777777" w:rsidR="004175F8" w:rsidRDefault="004175F8" w:rsidP="004175F8">
      <w:pPr>
        <w:pStyle w:val="Zkladntext"/>
        <w:rPr>
          <w:rFonts w:ascii="Times New Roman" w:eastAsia="Batang" w:hAnsi="Times New Roman" w:cs="Times New Roman"/>
          <w:b/>
          <w:sz w:val="24"/>
        </w:rPr>
      </w:pPr>
    </w:p>
    <w:p w14:paraId="4AAFCF63" w14:textId="77777777" w:rsidR="004175F8" w:rsidRPr="004175F8" w:rsidRDefault="004175F8" w:rsidP="004175F8">
      <w:pPr>
        <w:pStyle w:val="Zkladntext"/>
        <w:rPr>
          <w:rFonts w:ascii="Times New Roman" w:eastAsia="Batang" w:hAnsi="Times New Roman" w:cs="Times New Roman"/>
          <w:bCs/>
          <w:sz w:val="24"/>
        </w:rPr>
      </w:pPr>
      <w:r>
        <w:rPr>
          <w:rFonts w:ascii="Times New Roman" w:eastAsia="Batang" w:hAnsi="Times New Roman" w:cs="Times New Roman"/>
          <w:bCs/>
          <w:sz w:val="24"/>
        </w:rPr>
        <w:t xml:space="preserve">Zrušuje se obecně závazná vyhláška obce Dolní Dobrouč č. 1/2013, o stanovení podmínek požární bezpečnosti při akcích, kterých se zúčastňuje větší počet osob, ze dne </w:t>
      </w:r>
      <w:r w:rsidR="00AC6808">
        <w:rPr>
          <w:rFonts w:ascii="Times New Roman" w:eastAsia="Batang" w:hAnsi="Times New Roman" w:cs="Times New Roman"/>
          <w:bCs/>
          <w:sz w:val="24"/>
        </w:rPr>
        <w:t xml:space="preserve">15. února 2013. </w:t>
      </w:r>
    </w:p>
    <w:p w14:paraId="55B3DB3C" w14:textId="77777777" w:rsidR="009B7B34" w:rsidRDefault="009B7B34">
      <w:pPr>
        <w:pStyle w:val="Zkladntext"/>
        <w:jc w:val="center"/>
        <w:rPr>
          <w:rFonts w:ascii="Times New Roman" w:eastAsia="Batang" w:hAnsi="Times New Roman" w:cs="Times New Roman"/>
          <w:sz w:val="24"/>
        </w:rPr>
      </w:pPr>
    </w:p>
    <w:p w14:paraId="6FEE7791" w14:textId="77777777" w:rsidR="00B96210" w:rsidRPr="00260062" w:rsidRDefault="00B96210" w:rsidP="00B96210">
      <w:pPr>
        <w:pStyle w:val="Zkladntext"/>
        <w:ind w:left="426"/>
        <w:rPr>
          <w:rFonts w:ascii="Times New Roman" w:eastAsia="Batang" w:hAnsi="Times New Roman" w:cs="Times New Roman"/>
          <w:sz w:val="24"/>
        </w:rPr>
      </w:pPr>
    </w:p>
    <w:p w14:paraId="2A6DEFA9" w14:textId="77777777" w:rsidR="004B6F1D" w:rsidRPr="00690354" w:rsidRDefault="004B6F1D" w:rsidP="00BF6F90">
      <w:pPr>
        <w:pStyle w:val="Zkladntext"/>
        <w:jc w:val="center"/>
        <w:rPr>
          <w:rFonts w:ascii="Times New Roman" w:eastAsia="Batang" w:hAnsi="Times New Roman" w:cs="Times New Roman"/>
          <w:sz w:val="24"/>
        </w:rPr>
      </w:pPr>
    </w:p>
    <w:p w14:paraId="568FF525" w14:textId="77777777" w:rsidR="00AC6808" w:rsidRPr="003E32C0" w:rsidRDefault="00AC6808" w:rsidP="00AC6808">
      <w:pPr>
        <w:pStyle w:val="Zkladntext"/>
        <w:jc w:val="center"/>
        <w:rPr>
          <w:rFonts w:ascii="Times New Roman" w:eastAsia="Batang" w:hAnsi="Times New Roman" w:cs="Times New Roman"/>
          <w:b/>
          <w:sz w:val="24"/>
        </w:rPr>
      </w:pPr>
      <w:r w:rsidRPr="003E32C0">
        <w:rPr>
          <w:rFonts w:ascii="Times New Roman" w:eastAsia="Batang" w:hAnsi="Times New Roman" w:cs="Times New Roman"/>
          <w:b/>
          <w:sz w:val="24"/>
        </w:rPr>
        <w:t>Čl</w:t>
      </w:r>
      <w:r>
        <w:rPr>
          <w:rFonts w:ascii="Times New Roman" w:eastAsia="Batang" w:hAnsi="Times New Roman" w:cs="Times New Roman"/>
          <w:b/>
          <w:sz w:val="24"/>
        </w:rPr>
        <w:t>.</w:t>
      </w:r>
      <w:r w:rsidRPr="003E32C0">
        <w:rPr>
          <w:rFonts w:ascii="Times New Roman" w:eastAsia="Batang" w:hAnsi="Times New Roman" w:cs="Times New Roman"/>
          <w:b/>
          <w:sz w:val="24"/>
        </w:rPr>
        <w:t xml:space="preserve"> </w:t>
      </w:r>
      <w:r>
        <w:rPr>
          <w:rFonts w:ascii="Times New Roman" w:eastAsia="Batang" w:hAnsi="Times New Roman" w:cs="Times New Roman"/>
          <w:b/>
          <w:sz w:val="24"/>
        </w:rPr>
        <w:t>7</w:t>
      </w:r>
    </w:p>
    <w:p w14:paraId="6BBC629B" w14:textId="77777777" w:rsidR="00AC6808" w:rsidRDefault="00AC6808" w:rsidP="00AC6808">
      <w:pPr>
        <w:pStyle w:val="Zkladntext"/>
        <w:jc w:val="center"/>
        <w:rPr>
          <w:rFonts w:ascii="Times New Roman" w:eastAsia="Batang" w:hAnsi="Times New Roman" w:cs="Times New Roman"/>
          <w:b/>
          <w:sz w:val="24"/>
        </w:rPr>
      </w:pPr>
      <w:r>
        <w:rPr>
          <w:rFonts w:ascii="Times New Roman" w:eastAsia="Batang" w:hAnsi="Times New Roman" w:cs="Times New Roman"/>
          <w:b/>
          <w:sz w:val="24"/>
        </w:rPr>
        <w:t>Účinnost</w:t>
      </w:r>
    </w:p>
    <w:p w14:paraId="351FD02B" w14:textId="77777777" w:rsidR="00AC6808" w:rsidRDefault="00AC6808" w:rsidP="00AC6808">
      <w:pPr>
        <w:pStyle w:val="Zkladntext"/>
        <w:jc w:val="center"/>
        <w:rPr>
          <w:rFonts w:ascii="Times New Roman" w:eastAsia="Batang" w:hAnsi="Times New Roman" w:cs="Times New Roman"/>
          <w:b/>
          <w:sz w:val="24"/>
        </w:rPr>
      </w:pPr>
    </w:p>
    <w:p w14:paraId="2081BED7" w14:textId="77777777" w:rsidR="00AC6808" w:rsidRPr="00AC6808" w:rsidRDefault="00AC6808" w:rsidP="00AC6808">
      <w:pPr>
        <w:pStyle w:val="Zkladntext"/>
        <w:jc w:val="left"/>
        <w:rPr>
          <w:rFonts w:ascii="Times New Roman" w:eastAsia="Batang" w:hAnsi="Times New Roman" w:cs="Times New Roman"/>
          <w:bCs/>
          <w:sz w:val="24"/>
        </w:rPr>
      </w:pPr>
      <w:r w:rsidRPr="00AC6808">
        <w:rPr>
          <w:rFonts w:ascii="Times New Roman" w:eastAsia="Batang" w:hAnsi="Times New Roman" w:cs="Times New Roman"/>
          <w:bCs/>
          <w:sz w:val="24"/>
        </w:rPr>
        <w:t>Tato vyhláš</w:t>
      </w:r>
      <w:r>
        <w:rPr>
          <w:rFonts w:ascii="Times New Roman" w:eastAsia="Batang" w:hAnsi="Times New Roman" w:cs="Times New Roman"/>
          <w:bCs/>
          <w:sz w:val="24"/>
        </w:rPr>
        <w:t xml:space="preserve">ka nabývá účinnosti patnáctým dnem po dni jejího vyhlášení. </w:t>
      </w:r>
    </w:p>
    <w:p w14:paraId="2C8300F1" w14:textId="77777777" w:rsidR="00A24795" w:rsidRPr="00690354" w:rsidRDefault="00A24795" w:rsidP="00051E82">
      <w:pPr>
        <w:pStyle w:val="Odstavecseseznamem"/>
        <w:tabs>
          <w:tab w:val="num" w:pos="426"/>
        </w:tabs>
        <w:ind w:left="0"/>
        <w:rPr>
          <w:rFonts w:eastAsia="Batang"/>
        </w:rPr>
      </w:pPr>
    </w:p>
    <w:p w14:paraId="38C7F84A" w14:textId="77777777" w:rsidR="008754ED" w:rsidRDefault="008754ED">
      <w:pPr>
        <w:pStyle w:val="Zkladntext"/>
        <w:rPr>
          <w:rFonts w:ascii="Times New Roman" w:eastAsia="Batang" w:hAnsi="Times New Roman" w:cs="Times New Roman"/>
          <w:sz w:val="24"/>
          <w:vertAlign w:val="superscript"/>
        </w:rPr>
      </w:pPr>
    </w:p>
    <w:p w14:paraId="6A8D0772" w14:textId="77777777" w:rsidR="00EF099C" w:rsidRDefault="00EF099C">
      <w:pPr>
        <w:pStyle w:val="Zkladntext"/>
        <w:rPr>
          <w:rFonts w:ascii="Times New Roman" w:eastAsia="Batang" w:hAnsi="Times New Roman" w:cs="Times New Roman"/>
          <w:sz w:val="24"/>
          <w:vertAlign w:val="superscript"/>
        </w:rPr>
      </w:pPr>
    </w:p>
    <w:p w14:paraId="3F639514" w14:textId="77777777" w:rsidR="00EF099C" w:rsidRDefault="00EF099C">
      <w:pPr>
        <w:pStyle w:val="Zkladntext"/>
        <w:rPr>
          <w:rFonts w:ascii="Times New Roman" w:eastAsia="Batang" w:hAnsi="Times New Roman" w:cs="Times New Roman"/>
          <w:sz w:val="24"/>
          <w:vertAlign w:val="superscript"/>
        </w:rPr>
      </w:pPr>
    </w:p>
    <w:p w14:paraId="6A5AF2FC" w14:textId="77777777" w:rsidR="00EF099C" w:rsidRPr="00690354" w:rsidRDefault="00EF099C">
      <w:pPr>
        <w:pStyle w:val="Zkladntext"/>
        <w:rPr>
          <w:rFonts w:ascii="Times New Roman" w:eastAsia="Batang" w:hAnsi="Times New Roman" w:cs="Times New Roman"/>
          <w:sz w:val="24"/>
          <w:vertAlign w:val="superscript"/>
        </w:rPr>
      </w:pPr>
    </w:p>
    <w:p w14:paraId="3E289BC4" w14:textId="77777777" w:rsidR="00EC0881" w:rsidRPr="00690354" w:rsidRDefault="00690354" w:rsidP="00690354">
      <w:pPr>
        <w:pStyle w:val="Zkladntext"/>
        <w:rPr>
          <w:rFonts w:ascii="Times New Roman" w:eastAsia="Batang" w:hAnsi="Times New Roman" w:cs="Times New Roman"/>
          <w:sz w:val="24"/>
        </w:rPr>
      </w:pPr>
      <w:r>
        <w:rPr>
          <w:rFonts w:ascii="Times New Roman" w:eastAsia="Batang" w:hAnsi="Times New Roman" w:cs="Times New Roman"/>
          <w:sz w:val="24"/>
        </w:rPr>
        <w:t xml:space="preserve">             </w:t>
      </w:r>
      <w:r w:rsidR="00C445F9">
        <w:rPr>
          <w:rFonts w:ascii="Times New Roman" w:eastAsia="Batang" w:hAnsi="Times New Roman" w:cs="Times New Roman"/>
          <w:sz w:val="24"/>
        </w:rPr>
        <w:t xml:space="preserve">  </w:t>
      </w:r>
      <w:r w:rsidR="00191C8C">
        <w:rPr>
          <w:rFonts w:ascii="Times New Roman" w:eastAsia="Batang" w:hAnsi="Times New Roman" w:cs="Times New Roman"/>
          <w:sz w:val="24"/>
        </w:rPr>
        <w:t xml:space="preserve"> Bc. </w:t>
      </w:r>
      <w:r w:rsidR="00AC6808">
        <w:rPr>
          <w:rFonts w:ascii="Times New Roman" w:eastAsia="Batang" w:hAnsi="Times New Roman" w:cs="Times New Roman"/>
          <w:sz w:val="24"/>
        </w:rPr>
        <w:t>Pavel Zámečník</w:t>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AC6808">
        <w:rPr>
          <w:rFonts w:ascii="Times New Roman" w:eastAsia="Batang" w:hAnsi="Times New Roman" w:cs="Times New Roman"/>
          <w:sz w:val="24"/>
        </w:rPr>
        <w:t>Zdeněk Trkovský</w:t>
      </w:r>
    </w:p>
    <w:p w14:paraId="36EC8F76" w14:textId="77777777" w:rsidR="00AC6808" w:rsidRDefault="00690354" w:rsidP="00D36B3C">
      <w:pPr>
        <w:pStyle w:val="Zkladntext"/>
        <w:rPr>
          <w:rFonts w:ascii="Times New Roman" w:eastAsia="Batang" w:hAnsi="Times New Roman" w:cs="Times New Roman"/>
          <w:sz w:val="24"/>
        </w:rPr>
      </w:pPr>
      <w:r>
        <w:rPr>
          <w:rFonts w:ascii="Times New Roman" w:eastAsia="Batang" w:hAnsi="Times New Roman" w:cs="Times New Roman"/>
          <w:sz w:val="24"/>
        </w:rPr>
        <w:t xml:space="preserve">               </w:t>
      </w:r>
      <w:r w:rsidR="00E2701D">
        <w:rPr>
          <w:rFonts w:ascii="Times New Roman" w:eastAsia="Batang" w:hAnsi="Times New Roman" w:cs="Times New Roman"/>
          <w:sz w:val="24"/>
        </w:rPr>
        <w:t xml:space="preserve"> </w:t>
      </w:r>
      <w:r w:rsidR="00764CE6">
        <w:rPr>
          <w:rFonts w:ascii="Times New Roman" w:eastAsia="Batang" w:hAnsi="Times New Roman" w:cs="Times New Roman"/>
          <w:sz w:val="24"/>
        </w:rPr>
        <w:t xml:space="preserve">  </w:t>
      </w:r>
      <w:r w:rsidR="00AC6808">
        <w:rPr>
          <w:rFonts w:ascii="Times New Roman" w:eastAsia="Batang" w:hAnsi="Times New Roman" w:cs="Times New Roman"/>
          <w:sz w:val="24"/>
        </w:rPr>
        <w:t xml:space="preserve"> </w:t>
      </w:r>
      <w:r w:rsidR="00764CE6">
        <w:rPr>
          <w:rFonts w:ascii="Times New Roman" w:eastAsia="Batang" w:hAnsi="Times New Roman" w:cs="Times New Roman"/>
          <w:sz w:val="24"/>
        </w:rPr>
        <w:t xml:space="preserve"> </w:t>
      </w:r>
      <w:r w:rsidR="00816174">
        <w:rPr>
          <w:rFonts w:ascii="Times New Roman" w:eastAsia="Batang" w:hAnsi="Times New Roman" w:cs="Times New Roman"/>
          <w:sz w:val="24"/>
        </w:rPr>
        <w:t>m</w:t>
      </w:r>
      <w:r w:rsidR="00191C8C">
        <w:rPr>
          <w:rFonts w:ascii="Times New Roman" w:eastAsia="Batang" w:hAnsi="Times New Roman" w:cs="Times New Roman"/>
          <w:sz w:val="24"/>
        </w:rPr>
        <w:t xml:space="preserve">ístostarosta      </w:t>
      </w:r>
      <w:r w:rsidR="00C445F9">
        <w:rPr>
          <w:rFonts w:ascii="Times New Roman" w:eastAsia="Batang" w:hAnsi="Times New Roman" w:cs="Times New Roman"/>
          <w:sz w:val="24"/>
        </w:rPr>
        <w:t xml:space="preserve"> </w:t>
      </w:r>
      <w:r>
        <w:rPr>
          <w:rFonts w:ascii="Times New Roman" w:eastAsia="Batang" w:hAnsi="Times New Roman" w:cs="Times New Roman"/>
          <w:sz w:val="24"/>
        </w:rPr>
        <w:t xml:space="preserve"> </w:t>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t xml:space="preserve">  </w:t>
      </w:r>
      <w:r w:rsidR="00AC6808">
        <w:rPr>
          <w:rFonts w:ascii="Times New Roman" w:eastAsia="Batang" w:hAnsi="Times New Roman" w:cs="Times New Roman"/>
          <w:sz w:val="24"/>
        </w:rPr>
        <w:t xml:space="preserve">      </w:t>
      </w:r>
      <w:r w:rsidR="00816174">
        <w:rPr>
          <w:rFonts w:ascii="Times New Roman" w:eastAsia="Batang" w:hAnsi="Times New Roman" w:cs="Times New Roman"/>
          <w:sz w:val="24"/>
        </w:rPr>
        <w:t>staros</w:t>
      </w:r>
      <w:r w:rsidR="0041627B">
        <w:rPr>
          <w:rFonts w:ascii="Times New Roman" w:eastAsia="Batang" w:hAnsi="Times New Roman" w:cs="Times New Roman"/>
          <w:sz w:val="24"/>
        </w:rPr>
        <w:t>ta</w:t>
      </w:r>
    </w:p>
    <w:p w14:paraId="2C4872DE" w14:textId="77777777" w:rsidR="00AC6808" w:rsidRDefault="00AC6808" w:rsidP="00D36B3C">
      <w:pPr>
        <w:pStyle w:val="Zkladntext"/>
        <w:rPr>
          <w:rFonts w:ascii="Times New Roman" w:eastAsia="Batang" w:hAnsi="Times New Roman" w:cs="Times New Roman"/>
          <w:sz w:val="24"/>
        </w:rPr>
      </w:pPr>
    </w:p>
    <w:p w14:paraId="726B6FAF" w14:textId="77777777" w:rsidR="00AC6808" w:rsidRDefault="00AC6808" w:rsidP="00D36B3C">
      <w:pPr>
        <w:pStyle w:val="Zkladntext"/>
        <w:rPr>
          <w:rFonts w:ascii="Times New Roman" w:eastAsia="Batang" w:hAnsi="Times New Roman" w:cs="Times New Roman"/>
          <w:sz w:val="24"/>
        </w:rPr>
      </w:pPr>
    </w:p>
    <w:p w14:paraId="1EA87FE4" w14:textId="77777777" w:rsidR="00C445F9" w:rsidRPr="00C76997" w:rsidRDefault="00C445F9" w:rsidP="00C445F9">
      <w:pPr>
        <w:pStyle w:val="Zkladntext"/>
        <w:tabs>
          <w:tab w:val="left" w:pos="1080"/>
          <w:tab w:val="left" w:pos="7020"/>
        </w:tabs>
        <w:spacing w:line="288" w:lineRule="auto"/>
        <w:rPr>
          <w:rFonts w:ascii="Times New Roman" w:hAnsi="Times New Roman" w:cs="Times New Roman"/>
          <w:sz w:val="24"/>
        </w:rPr>
      </w:pPr>
      <w:r w:rsidRPr="00C76997">
        <w:rPr>
          <w:rFonts w:ascii="Times New Roman" w:hAnsi="Times New Roman" w:cs="Times New Roman"/>
          <w:sz w:val="24"/>
        </w:rPr>
        <w:t>Vyvěšeno na úřední desce dne:</w:t>
      </w:r>
    </w:p>
    <w:p w14:paraId="413F1649" w14:textId="77777777" w:rsidR="00C445F9" w:rsidRPr="00C76997" w:rsidRDefault="00C445F9" w:rsidP="00C445F9">
      <w:pPr>
        <w:pStyle w:val="Zkladntext"/>
        <w:tabs>
          <w:tab w:val="left" w:pos="1080"/>
          <w:tab w:val="left" w:pos="7020"/>
        </w:tabs>
        <w:spacing w:line="288" w:lineRule="auto"/>
        <w:rPr>
          <w:rFonts w:ascii="Times New Roman" w:hAnsi="Times New Roman" w:cs="Times New Roman"/>
          <w:sz w:val="24"/>
        </w:rPr>
      </w:pPr>
      <w:r w:rsidRPr="00C76997">
        <w:rPr>
          <w:rFonts w:ascii="Times New Roman" w:hAnsi="Times New Roman" w:cs="Times New Roman"/>
          <w:sz w:val="24"/>
        </w:rPr>
        <w:t>Sejmuto z úřední desky dne:</w:t>
      </w:r>
    </w:p>
    <w:p w14:paraId="2C46BACC" w14:textId="77777777" w:rsidR="000A5B12" w:rsidRPr="00C76997" w:rsidRDefault="00C445F9" w:rsidP="001C13CF">
      <w:pPr>
        <w:rPr>
          <w:rFonts w:eastAsia="Batang"/>
        </w:rPr>
      </w:pPr>
      <w:r w:rsidRPr="00C76997">
        <w:t xml:space="preserve">Zveřejnění vyhlášky bylo shodně provedeno </w:t>
      </w:r>
      <w:r w:rsidR="00AC6808">
        <w:t xml:space="preserve">způsobem umožňujícím dálkový přístup. </w:t>
      </w:r>
    </w:p>
    <w:sectPr w:rsidR="000A5B12" w:rsidRPr="00C76997">
      <w:footerReference w:type="even" r:id="rId9"/>
      <w:footerReference w:type="default" r:id="rId10"/>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BDDF" w14:textId="77777777" w:rsidR="0030267B" w:rsidRDefault="0030267B">
      <w:r>
        <w:separator/>
      </w:r>
    </w:p>
  </w:endnote>
  <w:endnote w:type="continuationSeparator" w:id="0">
    <w:p w14:paraId="5631378C" w14:textId="77777777" w:rsidR="0030267B" w:rsidRDefault="0030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1E3A" w14:textId="77777777" w:rsidR="00EC0881" w:rsidRDefault="00EC08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1743E1" w14:textId="77777777" w:rsidR="00EC0881" w:rsidRDefault="00EC08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088" w14:textId="77777777" w:rsidR="00EC0881" w:rsidRDefault="00EC08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90FA8">
      <w:rPr>
        <w:rStyle w:val="slostrnky"/>
        <w:noProof/>
      </w:rPr>
      <w:t>4</w:t>
    </w:r>
    <w:r>
      <w:rPr>
        <w:rStyle w:val="slostrnky"/>
      </w:rPr>
      <w:fldChar w:fldCharType="end"/>
    </w:r>
  </w:p>
  <w:p w14:paraId="09BB2E4B" w14:textId="77777777" w:rsidR="00EC0881" w:rsidRDefault="00EC0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50B3" w14:textId="77777777" w:rsidR="0030267B" w:rsidRDefault="0030267B">
      <w:r>
        <w:separator/>
      </w:r>
    </w:p>
  </w:footnote>
  <w:footnote w:type="continuationSeparator" w:id="0">
    <w:p w14:paraId="3041B41D" w14:textId="77777777" w:rsidR="0030267B" w:rsidRDefault="0030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10"/>
    <w:multiLevelType w:val="hybridMultilevel"/>
    <w:tmpl w:val="A7423A4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5E30365"/>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F33AA"/>
    <w:multiLevelType w:val="hybridMultilevel"/>
    <w:tmpl w:val="E3DC0146"/>
    <w:lvl w:ilvl="0" w:tplc="EAC63D34">
      <w:start w:val="1"/>
      <w:numFmt w:val="decimal"/>
      <w:lvlText w:val="%1)"/>
      <w:lvlJc w:val="left"/>
      <w:pPr>
        <w:tabs>
          <w:tab w:val="num" w:pos="915"/>
        </w:tabs>
        <w:ind w:left="915" w:hanging="555"/>
      </w:pPr>
      <w:rPr>
        <w:rFonts w:hint="default"/>
      </w:rPr>
    </w:lvl>
    <w:lvl w:ilvl="1" w:tplc="4B22C662">
      <w:start w:val="1"/>
      <w:numFmt w:val="lowerLetter"/>
      <w:lvlText w:val="%2)"/>
      <w:lvlJc w:val="left"/>
      <w:pPr>
        <w:ind w:left="1440" w:hanging="360"/>
      </w:pPr>
      <w:rPr>
        <w:rFonts w:ascii="Times New Roman" w:eastAsia="Batang"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37CCF"/>
    <w:multiLevelType w:val="hybridMultilevel"/>
    <w:tmpl w:val="55D66A0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A67A1"/>
    <w:multiLevelType w:val="hybridMultilevel"/>
    <w:tmpl w:val="7482021C"/>
    <w:lvl w:ilvl="0" w:tplc="E8F21EB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11600"/>
    <w:multiLevelType w:val="hybridMultilevel"/>
    <w:tmpl w:val="4F90C366"/>
    <w:lvl w:ilvl="0" w:tplc="E0F6C04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15B03E5F"/>
    <w:multiLevelType w:val="hybridMultilevel"/>
    <w:tmpl w:val="E3DC0146"/>
    <w:lvl w:ilvl="0" w:tplc="EAC63D34">
      <w:start w:val="1"/>
      <w:numFmt w:val="decimal"/>
      <w:lvlText w:val="%1)"/>
      <w:lvlJc w:val="left"/>
      <w:pPr>
        <w:tabs>
          <w:tab w:val="num" w:pos="915"/>
        </w:tabs>
        <w:ind w:left="915" w:hanging="555"/>
      </w:pPr>
      <w:rPr>
        <w:rFonts w:hint="default"/>
      </w:rPr>
    </w:lvl>
    <w:lvl w:ilvl="1" w:tplc="4B22C662">
      <w:start w:val="1"/>
      <w:numFmt w:val="lowerLetter"/>
      <w:lvlText w:val="%2)"/>
      <w:lvlJc w:val="left"/>
      <w:pPr>
        <w:ind w:left="1440" w:hanging="360"/>
      </w:pPr>
      <w:rPr>
        <w:rFonts w:ascii="Times New Roman" w:eastAsia="Batang"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82AA4"/>
    <w:multiLevelType w:val="hybridMultilevel"/>
    <w:tmpl w:val="D280051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0F">
      <w:start w:val="1"/>
      <w:numFmt w:val="decimal"/>
      <w:lvlText w:val="%3."/>
      <w:lvlJc w:val="lef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8221187"/>
    <w:multiLevelType w:val="hybridMultilevel"/>
    <w:tmpl w:val="4516F1B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21A45188"/>
    <w:multiLevelType w:val="hybridMultilevel"/>
    <w:tmpl w:val="2E40CE30"/>
    <w:lvl w:ilvl="0" w:tplc="13EEF206">
      <w:start w:val="3"/>
      <w:numFmt w:val="decimal"/>
      <w:lvlText w:val="(%1)"/>
      <w:lvlJc w:val="left"/>
      <w:pPr>
        <w:ind w:left="16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07D71"/>
    <w:multiLevelType w:val="hybridMultilevel"/>
    <w:tmpl w:val="55D8B03C"/>
    <w:lvl w:ilvl="0" w:tplc="EAC63D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1B0C56"/>
    <w:multiLevelType w:val="hybridMultilevel"/>
    <w:tmpl w:val="04523F4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3C25A68"/>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954190"/>
    <w:multiLevelType w:val="hybridMultilevel"/>
    <w:tmpl w:val="C17ADAFA"/>
    <w:lvl w:ilvl="0" w:tplc="5DAACA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85B29D3"/>
    <w:multiLevelType w:val="hybridMultilevel"/>
    <w:tmpl w:val="4628C500"/>
    <w:lvl w:ilvl="0" w:tplc="D4AA0A58">
      <w:start w:val="1"/>
      <w:numFmt w:val="lowerLetter"/>
      <w:lvlText w:val="%1)"/>
      <w:lvlJc w:val="left"/>
      <w:pPr>
        <w:ind w:left="1086" w:hanging="360"/>
      </w:pPr>
      <w:rPr>
        <w:rFonts w:hint="default"/>
      </w:rPr>
    </w:lvl>
    <w:lvl w:ilvl="1" w:tplc="04050019" w:tentative="1">
      <w:start w:val="1"/>
      <w:numFmt w:val="lowerLetter"/>
      <w:lvlText w:val="%2."/>
      <w:lvlJc w:val="left"/>
      <w:pPr>
        <w:ind w:left="1806" w:hanging="360"/>
      </w:pPr>
    </w:lvl>
    <w:lvl w:ilvl="2" w:tplc="0405001B" w:tentative="1">
      <w:start w:val="1"/>
      <w:numFmt w:val="lowerRoman"/>
      <w:lvlText w:val="%3."/>
      <w:lvlJc w:val="right"/>
      <w:pPr>
        <w:ind w:left="2526" w:hanging="180"/>
      </w:pPr>
    </w:lvl>
    <w:lvl w:ilvl="3" w:tplc="0405000F" w:tentative="1">
      <w:start w:val="1"/>
      <w:numFmt w:val="decimal"/>
      <w:lvlText w:val="%4."/>
      <w:lvlJc w:val="left"/>
      <w:pPr>
        <w:ind w:left="3246" w:hanging="360"/>
      </w:pPr>
    </w:lvl>
    <w:lvl w:ilvl="4" w:tplc="04050019" w:tentative="1">
      <w:start w:val="1"/>
      <w:numFmt w:val="lowerLetter"/>
      <w:lvlText w:val="%5."/>
      <w:lvlJc w:val="left"/>
      <w:pPr>
        <w:ind w:left="3966" w:hanging="360"/>
      </w:pPr>
    </w:lvl>
    <w:lvl w:ilvl="5" w:tplc="0405001B" w:tentative="1">
      <w:start w:val="1"/>
      <w:numFmt w:val="lowerRoman"/>
      <w:lvlText w:val="%6."/>
      <w:lvlJc w:val="right"/>
      <w:pPr>
        <w:ind w:left="4686" w:hanging="180"/>
      </w:pPr>
    </w:lvl>
    <w:lvl w:ilvl="6" w:tplc="0405000F" w:tentative="1">
      <w:start w:val="1"/>
      <w:numFmt w:val="decimal"/>
      <w:lvlText w:val="%7."/>
      <w:lvlJc w:val="left"/>
      <w:pPr>
        <w:ind w:left="5406" w:hanging="360"/>
      </w:pPr>
    </w:lvl>
    <w:lvl w:ilvl="7" w:tplc="04050019" w:tentative="1">
      <w:start w:val="1"/>
      <w:numFmt w:val="lowerLetter"/>
      <w:lvlText w:val="%8."/>
      <w:lvlJc w:val="left"/>
      <w:pPr>
        <w:ind w:left="6126" w:hanging="360"/>
      </w:pPr>
    </w:lvl>
    <w:lvl w:ilvl="8" w:tplc="0405001B" w:tentative="1">
      <w:start w:val="1"/>
      <w:numFmt w:val="lowerRoman"/>
      <w:lvlText w:val="%9."/>
      <w:lvlJc w:val="right"/>
      <w:pPr>
        <w:ind w:left="6846" w:hanging="180"/>
      </w:pPr>
    </w:lvl>
  </w:abstractNum>
  <w:abstractNum w:abstractNumId="15" w15:restartNumberingAfterBreak="0">
    <w:nsid w:val="3A9A6F4F"/>
    <w:multiLevelType w:val="hybridMultilevel"/>
    <w:tmpl w:val="4F82ADBA"/>
    <w:lvl w:ilvl="0" w:tplc="068A302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2B60F1C"/>
    <w:multiLevelType w:val="hybridMultilevel"/>
    <w:tmpl w:val="4F82ADB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5EB0E2A"/>
    <w:multiLevelType w:val="hybridMultilevel"/>
    <w:tmpl w:val="AC0CBD92"/>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6073A76"/>
    <w:multiLevelType w:val="hybridMultilevel"/>
    <w:tmpl w:val="F6B4FE3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7303A1B"/>
    <w:multiLevelType w:val="hybridMultilevel"/>
    <w:tmpl w:val="5C36E2F8"/>
    <w:lvl w:ilvl="0" w:tplc="4E14D03E">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0" w15:restartNumberingAfterBreak="0">
    <w:nsid w:val="488D0EB0"/>
    <w:multiLevelType w:val="hybridMultilevel"/>
    <w:tmpl w:val="7E1C57AC"/>
    <w:lvl w:ilvl="0" w:tplc="52D885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542653"/>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1A3F07"/>
    <w:multiLevelType w:val="hybridMultilevel"/>
    <w:tmpl w:val="187492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E6BD2"/>
    <w:multiLevelType w:val="hybridMultilevel"/>
    <w:tmpl w:val="6330A3C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4BE3E70"/>
    <w:multiLevelType w:val="hybridMultilevel"/>
    <w:tmpl w:val="060422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8156F4"/>
    <w:multiLevelType w:val="hybridMultilevel"/>
    <w:tmpl w:val="7352AA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192983"/>
    <w:multiLevelType w:val="hybridMultilevel"/>
    <w:tmpl w:val="A3E2C5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E256A05"/>
    <w:multiLevelType w:val="hybridMultilevel"/>
    <w:tmpl w:val="3C108E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1226AE"/>
    <w:multiLevelType w:val="hybridMultilevel"/>
    <w:tmpl w:val="FB4080C8"/>
    <w:lvl w:ilvl="0" w:tplc="FFFFFFFF">
      <w:start w:val="1"/>
      <w:numFmt w:val="decimal"/>
      <w:lvlText w:val="(%1)"/>
      <w:lvlJc w:val="left"/>
      <w:pPr>
        <w:ind w:left="163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A83B45"/>
    <w:multiLevelType w:val="hybridMultilevel"/>
    <w:tmpl w:val="E8C43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F0765C"/>
    <w:multiLevelType w:val="hybridMultilevel"/>
    <w:tmpl w:val="E8C43080"/>
    <w:lvl w:ilvl="0" w:tplc="143A69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79037F"/>
    <w:multiLevelType w:val="hybridMultilevel"/>
    <w:tmpl w:val="CC2AF9BA"/>
    <w:lvl w:ilvl="0" w:tplc="EAC63D34">
      <w:start w:val="1"/>
      <w:numFmt w:val="decimal"/>
      <w:lvlText w:val="%1)"/>
      <w:lvlJc w:val="left"/>
      <w:pPr>
        <w:ind w:left="600" w:hanging="360"/>
      </w:pPr>
      <w:rPr>
        <w:rFonts w:hint="default"/>
      </w:rPr>
    </w:lvl>
    <w:lvl w:ilvl="1" w:tplc="78BA1E7C">
      <w:start w:val="1"/>
      <w:numFmt w:val="lowerLetter"/>
      <w:lvlText w:val="%2)"/>
      <w:lvlJc w:val="left"/>
      <w:pPr>
        <w:ind w:left="1440" w:hanging="360"/>
      </w:pPr>
      <w:rPr>
        <w:rFonts w:hint="default"/>
      </w:rPr>
    </w:lvl>
    <w:lvl w:ilvl="2" w:tplc="E3480588">
      <w:start w:val="1"/>
      <w:numFmt w:val="decimal"/>
      <w:lvlText w:val="%3."/>
      <w:lvlJc w:val="left"/>
      <w:pPr>
        <w:ind w:left="2340" w:hanging="360"/>
      </w:pPr>
      <w:rPr>
        <w:rFonts w:hint="default"/>
      </w:rPr>
    </w:lvl>
    <w:lvl w:ilvl="3" w:tplc="EC180F6E">
      <w:start w:val="1"/>
      <w:numFmt w:val="bullet"/>
      <w:lvlText w:val="-"/>
      <w:lvlJc w:val="left"/>
      <w:pPr>
        <w:ind w:left="2880" w:hanging="360"/>
      </w:pPr>
      <w:rPr>
        <w:rFonts w:ascii="Times New Roman" w:eastAsia="Batang"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4C2C2C"/>
    <w:multiLevelType w:val="hybridMultilevel"/>
    <w:tmpl w:val="19ECD002"/>
    <w:lvl w:ilvl="0" w:tplc="143A69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5F02CC"/>
    <w:multiLevelType w:val="hybridMultilevel"/>
    <w:tmpl w:val="09126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6649BC"/>
    <w:multiLevelType w:val="hybridMultilevel"/>
    <w:tmpl w:val="4F82ADB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70233479"/>
    <w:multiLevelType w:val="hybridMultilevel"/>
    <w:tmpl w:val="FB4080C8"/>
    <w:lvl w:ilvl="0" w:tplc="F2FC5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6729697">
    <w:abstractNumId w:val="2"/>
  </w:num>
  <w:num w:numId="2" w16cid:durableId="805657262">
    <w:abstractNumId w:val="1"/>
  </w:num>
  <w:num w:numId="3" w16cid:durableId="183859298">
    <w:abstractNumId w:val="19"/>
  </w:num>
  <w:num w:numId="4" w16cid:durableId="256905936">
    <w:abstractNumId w:val="31"/>
  </w:num>
  <w:num w:numId="5" w16cid:durableId="1730569326">
    <w:abstractNumId w:val="6"/>
  </w:num>
  <w:num w:numId="6" w16cid:durableId="590896334">
    <w:abstractNumId w:val="12"/>
  </w:num>
  <w:num w:numId="7" w16cid:durableId="471288610">
    <w:abstractNumId w:val="21"/>
  </w:num>
  <w:num w:numId="8" w16cid:durableId="755982305">
    <w:abstractNumId w:val="0"/>
  </w:num>
  <w:num w:numId="9" w16cid:durableId="222062670">
    <w:abstractNumId w:val="8"/>
  </w:num>
  <w:num w:numId="10" w16cid:durableId="936593146">
    <w:abstractNumId w:val="4"/>
  </w:num>
  <w:num w:numId="11" w16cid:durableId="371998850">
    <w:abstractNumId w:val="10"/>
  </w:num>
  <w:num w:numId="12" w16cid:durableId="1984459612">
    <w:abstractNumId w:val="33"/>
  </w:num>
  <w:num w:numId="13" w16cid:durableId="1850177657">
    <w:abstractNumId w:val="24"/>
  </w:num>
  <w:num w:numId="14" w16cid:durableId="307436744">
    <w:abstractNumId w:val="7"/>
  </w:num>
  <w:num w:numId="15" w16cid:durableId="1277101927">
    <w:abstractNumId w:val="17"/>
  </w:num>
  <w:num w:numId="16" w16cid:durableId="737358735">
    <w:abstractNumId w:val="23"/>
  </w:num>
  <w:num w:numId="17" w16cid:durableId="718628145">
    <w:abstractNumId w:val="11"/>
  </w:num>
  <w:num w:numId="18" w16cid:durableId="1297757901">
    <w:abstractNumId w:val="26"/>
  </w:num>
  <w:num w:numId="19" w16cid:durableId="594636779">
    <w:abstractNumId w:val="20"/>
  </w:num>
  <w:num w:numId="20" w16cid:durableId="1359770846">
    <w:abstractNumId w:val="22"/>
  </w:num>
  <w:num w:numId="21" w16cid:durableId="777598639">
    <w:abstractNumId w:val="27"/>
  </w:num>
  <w:num w:numId="22" w16cid:durableId="504824842">
    <w:abstractNumId w:val="25"/>
  </w:num>
  <w:num w:numId="23" w16cid:durableId="786628788">
    <w:abstractNumId w:val="35"/>
  </w:num>
  <w:num w:numId="24" w16cid:durableId="625703234">
    <w:abstractNumId w:val="28"/>
  </w:num>
  <w:num w:numId="25" w16cid:durableId="530340011">
    <w:abstractNumId w:val="5"/>
  </w:num>
  <w:num w:numId="26" w16cid:durableId="1632905000">
    <w:abstractNumId w:val="18"/>
  </w:num>
  <w:num w:numId="27" w16cid:durableId="1363674104">
    <w:abstractNumId w:val="15"/>
  </w:num>
  <w:num w:numId="28" w16cid:durableId="1892232300">
    <w:abstractNumId w:val="34"/>
  </w:num>
  <w:num w:numId="29" w16cid:durableId="1561015188">
    <w:abstractNumId w:val="16"/>
  </w:num>
  <w:num w:numId="30" w16cid:durableId="1883209453">
    <w:abstractNumId w:val="13"/>
  </w:num>
  <w:num w:numId="31" w16cid:durableId="763107345">
    <w:abstractNumId w:val="14"/>
  </w:num>
  <w:num w:numId="32" w16cid:durableId="66923782">
    <w:abstractNumId w:val="32"/>
  </w:num>
  <w:num w:numId="33" w16cid:durableId="1918055366">
    <w:abstractNumId w:val="30"/>
  </w:num>
  <w:num w:numId="34" w16cid:durableId="1780371428">
    <w:abstractNumId w:val="29"/>
  </w:num>
  <w:num w:numId="35" w16cid:durableId="801846511">
    <w:abstractNumId w:val="9"/>
  </w:num>
  <w:num w:numId="36" w16cid:durableId="172602310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B"/>
    <w:rsid w:val="000103B5"/>
    <w:rsid w:val="00025518"/>
    <w:rsid w:val="00035EFA"/>
    <w:rsid w:val="00046E87"/>
    <w:rsid w:val="00051E82"/>
    <w:rsid w:val="00052584"/>
    <w:rsid w:val="00056439"/>
    <w:rsid w:val="000568AD"/>
    <w:rsid w:val="0006686F"/>
    <w:rsid w:val="000869A4"/>
    <w:rsid w:val="00097F84"/>
    <w:rsid w:val="000A5B12"/>
    <w:rsid w:val="000A622F"/>
    <w:rsid w:val="000A69E3"/>
    <w:rsid w:val="000B00D3"/>
    <w:rsid w:val="000B5EFC"/>
    <w:rsid w:val="000B7DB5"/>
    <w:rsid w:val="000C00F1"/>
    <w:rsid w:val="000C706C"/>
    <w:rsid w:val="000D0ED2"/>
    <w:rsid w:val="000D4B00"/>
    <w:rsid w:val="000D69B5"/>
    <w:rsid w:val="000E684D"/>
    <w:rsid w:val="000E7B26"/>
    <w:rsid w:val="000F607C"/>
    <w:rsid w:val="000F6BCB"/>
    <w:rsid w:val="0010343A"/>
    <w:rsid w:val="00104917"/>
    <w:rsid w:val="0012257C"/>
    <w:rsid w:val="001245A6"/>
    <w:rsid w:val="00160366"/>
    <w:rsid w:val="001837AD"/>
    <w:rsid w:val="00191C8C"/>
    <w:rsid w:val="001B6EB0"/>
    <w:rsid w:val="001C006A"/>
    <w:rsid w:val="001C13CF"/>
    <w:rsid w:val="001D0470"/>
    <w:rsid w:val="001D2368"/>
    <w:rsid w:val="001D489B"/>
    <w:rsid w:val="001F68B7"/>
    <w:rsid w:val="002019F5"/>
    <w:rsid w:val="00211174"/>
    <w:rsid w:val="00214F1C"/>
    <w:rsid w:val="00222FC8"/>
    <w:rsid w:val="002251FF"/>
    <w:rsid w:val="00230205"/>
    <w:rsid w:val="00235B7E"/>
    <w:rsid w:val="00243176"/>
    <w:rsid w:val="00252E99"/>
    <w:rsid w:val="00260062"/>
    <w:rsid w:val="00263692"/>
    <w:rsid w:val="002641E5"/>
    <w:rsid w:val="0027132B"/>
    <w:rsid w:val="00292F10"/>
    <w:rsid w:val="00295CAE"/>
    <w:rsid w:val="002A1FEF"/>
    <w:rsid w:val="002B6ABD"/>
    <w:rsid w:val="002C378B"/>
    <w:rsid w:val="002D1756"/>
    <w:rsid w:val="002D27A1"/>
    <w:rsid w:val="002E2A56"/>
    <w:rsid w:val="002E7964"/>
    <w:rsid w:val="0030267B"/>
    <w:rsid w:val="003121CC"/>
    <w:rsid w:val="00312494"/>
    <w:rsid w:val="0031584B"/>
    <w:rsid w:val="00345172"/>
    <w:rsid w:val="003556CC"/>
    <w:rsid w:val="00367EE4"/>
    <w:rsid w:val="00373BD3"/>
    <w:rsid w:val="003765A6"/>
    <w:rsid w:val="003772CA"/>
    <w:rsid w:val="00384995"/>
    <w:rsid w:val="00384AED"/>
    <w:rsid w:val="00390FA8"/>
    <w:rsid w:val="00395D90"/>
    <w:rsid w:val="00396848"/>
    <w:rsid w:val="003A5638"/>
    <w:rsid w:val="003C6BC6"/>
    <w:rsid w:val="003D0884"/>
    <w:rsid w:val="003D4DA8"/>
    <w:rsid w:val="003D6230"/>
    <w:rsid w:val="003E32C0"/>
    <w:rsid w:val="003F5BC4"/>
    <w:rsid w:val="004069E9"/>
    <w:rsid w:val="0041320D"/>
    <w:rsid w:val="0041627B"/>
    <w:rsid w:val="004175F8"/>
    <w:rsid w:val="00421031"/>
    <w:rsid w:val="00435957"/>
    <w:rsid w:val="00443250"/>
    <w:rsid w:val="0045359A"/>
    <w:rsid w:val="00453D28"/>
    <w:rsid w:val="004719B9"/>
    <w:rsid w:val="00472788"/>
    <w:rsid w:val="00473CC4"/>
    <w:rsid w:val="0047534C"/>
    <w:rsid w:val="0049737E"/>
    <w:rsid w:val="004A1865"/>
    <w:rsid w:val="004A24CF"/>
    <w:rsid w:val="004B17F2"/>
    <w:rsid w:val="004B2581"/>
    <w:rsid w:val="004B49FF"/>
    <w:rsid w:val="004B6799"/>
    <w:rsid w:val="004B6F1D"/>
    <w:rsid w:val="004C2EE5"/>
    <w:rsid w:val="004C4FB5"/>
    <w:rsid w:val="004C5B64"/>
    <w:rsid w:val="004E60E1"/>
    <w:rsid w:val="00500F3F"/>
    <w:rsid w:val="00506AB0"/>
    <w:rsid w:val="00507179"/>
    <w:rsid w:val="00507956"/>
    <w:rsid w:val="00527F38"/>
    <w:rsid w:val="005357F0"/>
    <w:rsid w:val="005364D0"/>
    <w:rsid w:val="005575EC"/>
    <w:rsid w:val="00562239"/>
    <w:rsid w:val="00582A10"/>
    <w:rsid w:val="0059238C"/>
    <w:rsid w:val="00594F03"/>
    <w:rsid w:val="005A2CED"/>
    <w:rsid w:val="005A7BA6"/>
    <w:rsid w:val="005B467A"/>
    <w:rsid w:val="005C2A3D"/>
    <w:rsid w:val="005C5193"/>
    <w:rsid w:val="005D45B6"/>
    <w:rsid w:val="005D72D3"/>
    <w:rsid w:val="005D76F0"/>
    <w:rsid w:val="005E0C7C"/>
    <w:rsid w:val="005E2B86"/>
    <w:rsid w:val="005E77B2"/>
    <w:rsid w:val="005F2FDE"/>
    <w:rsid w:val="005F3DA1"/>
    <w:rsid w:val="005F5EE6"/>
    <w:rsid w:val="00602C86"/>
    <w:rsid w:val="00603376"/>
    <w:rsid w:val="00606079"/>
    <w:rsid w:val="00606DE4"/>
    <w:rsid w:val="006169BD"/>
    <w:rsid w:val="00617E3A"/>
    <w:rsid w:val="00632044"/>
    <w:rsid w:val="00632884"/>
    <w:rsid w:val="006339F9"/>
    <w:rsid w:val="00660AAE"/>
    <w:rsid w:val="00662F7D"/>
    <w:rsid w:val="0067065C"/>
    <w:rsid w:val="00680032"/>
    <w:rsid w:val="00690354"/>
    <w:rsid w:val="00693C46"/>
    <w:rsid w:val="006A2552"/>
    <w:rsid w:val="006A2681"/>
    <w:rsid w:val="006B7EC6"/>
    <w:rsid w:val="006C01A9"/>
    <w:rsid w:val="006C2BB9"/>
    <w:rsid w:val="006C3AC5"/>
    <w:rsid w:val="006C5CB7"/>
    <w:rsid w:val="006D0627"/>
    <w:rsid w:val="006D06AD"/>
    <w:rsid w:val="006D5CE5"/>
    <w:rsid w:val="006E4A68"/>
    <w:rsid w:val="006E532E"/>
    <w:rsid w:val="006F0089"/>
    <w:rsid w:val="006F0121"/>
    <w:rsid w:val="006F06CF"/>
    <w:rsid w:val="00704320"/>
    <w:rsid w:val="0071158C"/>
    <w:rsid w:val="00716CD2"/>
    <w:rsid w:val="00723A03"/>
    <w:rsid w:val="00725200"/>
    <w:rsid w:val="007314DE"/>
    <w:rsid w:val="00734926"/>
    <w:rsid w:val="007353C8"/>
    <w:rsid w:val="00740CCB"/>
    <w:rsid w:val="0074159C"/>
    <w:rsid w:val="00745069"/>
    <w:rsid w:val="00754893"/>
    <w:rsid w:val="007603B5"/>
    <w:rsid w:val="007623E7"/>
    <w:rsid w:val="00764CE6"/>
    <w:rsid w:val="00773F20"/>
    <w:rsid w:val="00780F90"/>
    <w:rsid w:val="00792DCA"/>
    <w:rsid w:val="007A4798"/>
    <w:rsid w:val="007B3DE6"/>
    <w:rsid w:val="007B6786"/>
    <w:rsid w:val="007C0AD4"/>
    <w:rsid w:val="007D6D3A"/>
    <w:rsid w:val="007E3043"/>
    <w:rsid w:val="007E4CB4"/>
    <w:rsid w:val="007F3D38"/>
    <w:rsid w:val="007F4773"/>
    <w:rsid w:val="007F4E9B"/>
    <w:rsid w:val="007F7AF6"/>
    <w:rsid w:val="00805461"/>
    <w:rsid w:val="00807902"/>
    <w:rsid w:val="00816174"/>
    <w:rsid w:val="008212B0"/>
    <w:rsid w:val="00832E23"/>
    <w:rsid w:val="00854A2E"/>
    <w:rsid w:val="0086021B"/>
    <w:rsid w:val="00874DA4"/>
    <w:rsid w:val="008754ED"/>
    <w:rsid w:val="00881376"/>
    <w:rsid w:val="00892055"/>
    <w:rsid w:val="008A3CC1"/>
    <w:rsid w:val="008A51F6"/>
    <w:rsid w:val="008A541D"/>
    <w:rsid w:val="008B6CB4"/>
    <w:rsid w:val="008D06B4"/>
    <w:rsid w:val="008D4050"/>
    <w:rsid w:val="008D635F"/>
    <w:rsid w:val="008F779C"/>
    <w:rsid w:val="00911523"/>
    <w:rsid w:val="0092009D"/>
    <w:rsid w:val="00940100"/>
    <w:rsid w:val="00941659"/>
    <w:rsid w:val="009428F1"/>
    <w:rsid w:val="009450E4"/>
    <w:rsid w:val="0094566C"/>
    <w:rsid w:val="009571A8"/>
    <w:rsid w:val="009679D7"/>
    <w:rsid w:val="00971651"/>
    <w:rsid w:val="00972BB4"/>
    <w:rsid w:val="00983028"/>
    <w:rsid w:val="00985C35"/>
    <w:rsid w:val="00985EAB"/>
    <w:rsid w:val="0099568D"/>
    <w:rsid w:val="009969A3"/>
    <w:rsid w:val="009B0C7F"/>
    <w:rsid w:val="009B7B34"/>
    <w:rsid w:val="009D0A48"/>
    <w:rsid w:val="009D1BC0"/>
    <w:rsid w:val="009E1EBC"/>
    <w:rsid w:val="009E46BF"/>
    <w:rsid w:val="009E4746"/>
    <w:rsid w:val="009E5E8B"/>
    <w:rsid w:val="009E646F"/>
    <w:rsid w:val="009E7C53"/>
    <w:rsid w:val="009F0EE6"/>
    <w:rsid w:val="009F2C9B"/>
    <w:rsid w:val="00A02D4C"/>
    <w:rsid w:val="00A20A7C"/>
    <w:rsid w:val="00A23A05"/>
    <w:rsid w:val="00A24795"/>
    <w:rsid w:val="00A3103E"/>
    <w:rsid w:val="00A32798"/>
    <w:rsid w:val="00A44939"/>
    <w:rsid w:val="00A47183"/>
    <w:rsid w:val="00A5017D"/>
    <w:rsid w:val="00A61144"/>
    <w:rsid w:val="00A642F0"/>
    <w:rsid w:val="00A7176F"/>
    <w:rsid w:val="00A77FDF"/>
    <w:rsid w:val="00A858FA"/>
    <w:rsid w:val="00AB4588"/>
    <w:rsid w:val="00AC6808"/>
    <w:rsid w:val="00AC6CB9"/>
    <w:rsid w:val="00AC7745"/>
    <w:rsid w:val="00AD1139"/>
    <w:rsid w:val="00AD551D"/>
    <w:rsid w:val="00B01507"/>
    <w:rsid w:val="00B05E46"/>
    <w:rsid w:val="00B12C1D"/>
    <w:rsid w:val="00B26DD8"/>
    <w:rsid w:val="00B373D4"/>
    <w:rsid w:val="00B4040F"/>
    <w:rsid w:val="00B41A1F"/>
    <w:rsid w:val="00B426D7"/>
    <w:rsid w:val="00B561D2"/>
    <w:rsid w:val="00B57250"/>
    <w:rsid w:val="00B6239A"/>
    <w:rsid w:val="00B63552"/>
    <w:rsid w:val="00B6766E"/>
    <w:rsid w:val="00B73689"/>
    <w:rsid w:val="00B75F72"/>
    <w:rsid w:val="00B8128A"/>
    <w:rsid w:val="00B83669"/>
    <w:rsid w:val="00B84CAF"/>
    <w:rsid w:val="00B8700B"/>
    <w:rsid w:val="00B96210"/>
    <w:rsid w:val="00BA0795"/>
    <w:rsid w:val="00BB0069"/>
    <w:rsid w:val="00BB06B4"/>
    <w:rsid w:val="00BB110C"/>
    <w:rsid w:val="00BB3254"/>
    <w:rsid w:val="00BB3560"/>
    <w:rsid w:val="00BC673A"/>
    <w:rsid w:val="00BD177E"/>
    <w:rsid w:val="00BD2F00"/>
    <w:rsid w:val="00BF3CE2"/>
    <w:rsid w:val="00BF6F90"/>
    <w:rsid w:val="00C07DA3"/>
    <w:rsid w:val="00C16EC5"/>
    <w:rsid w:val="00C20185"/>
    <w:rsid w:val="00C22D52"/>
    <w:rsid w:val="00C25B92"/>
    <w:rsid w:val="00C26D1A"/>
    <w:rsid w:val="00C305D9"/>
    <w:rsid w:val="00C370E9"/>
    <w:rsid w:val="00C3772A"/>
    <w:rsid w:val="00C40400"/>
    <w:rsid w:val="00C42EF6"/>
    <w:rsid w:val="00C445F9"/>
    <w:rsid w:val="00C453A1"/>
    <w:rsid w:val="00C45447"/>
    <w:rsid w:val="00C51428"/>
    <w:rsid w:val="00C5218E"/>
    <w:rsid w:val="00C52638"/>
    <w:rsid w:val="00C67E2B"/>
    <w:rsid w:val="00C75303"/>
    <w:rsid w:val="00C76997"/>
    <w:rsid w:val="00C80839"/>
    <w:rsid w:val="00C861FA"/>
    <w:rsid w:val="00C94D89"/>
    <w:rsid w:val="00C9571B"/>
    <w:rsid w:val="00CB56C4"/>
    <w:rsid w:val="00CD36B0"/>
    <w:rsid w:val="00CD7F31"/>
    <w:rsid w:val="00CE33A3"/>
    <w:rsid w:val="00CE4495"/>
    <w:rsid w:val="00D02B92"/>
    <w:rsid w:val="00D03975"/>
    <w:rsid w:val="00D17A49"/>
    <w:rsid w:val="00D20361"/>
    <w:rsid w:val="00D21D71"/>
    <w:rsid w:val="00D266F1"/>
    <w:rsid w:val="00D26EB5"/>
    <w:rsid w:val="00D3023D"/>
    <w:rsid w:val="00D36B3C"/>
    <w:rsid w:val="00D410EB"/>
    <w:rsid w:val="00D42CBE"/>
    <w:rsid w:val="00D43113"/>
    <w:rsid w:val="00D51A09"/>
    <w:rsid w:val="00D573AE"/>
    <w:rsid w:val="00D61133"/>
    <w:rsid w:val="00D62301"/>
    <w:rsid w:val="00D7371A"/>
    <w:rsid w:val="00D74365"/>
    <w:rsid w:val="00D74B01"/>
    <w:rsid w:val="00D75196"/>
    <w:rsid w:val="00D91FC0"/>
    <w:rsid w:val="00DA62A8"/>
    <w:rsid w:val="00DC0369"/>
    <w:rsid w:val="00DD72BD"/>
    <w:rsid w:val="00DE00A6"/>
    <w:rsid w:val="00DE024A"/>
    <w:rsid w:val="00E07087"/>
    <w:rsid w:val="00E074D5"/>
    <w:rsid w:val="00E0758B"/>
    <w:rsid w:val="00E125E3"/>
    <w:rsid w:val="00E149B4"/>
    <w:rsid w:val="00E2701D"/>
    <w:rsid w:val="00E35B4F"/>
    <w:rsid w:val="00E40D61"/>
    <w:rsid w:val="00E47B82"/>
    <w:rsid w:val="00E50DA3"/>
    <w:rsid w:val="00E570D0"/>
    <w:rsid w:val="00E57D38"/>
    <w:rsid w:val="00E6255C"/>
    <w:rsid w:val="00E672B3"/>
    <w:rsid w:val="00E818E5"/>
    <w:rsid w:val="00E82FA9"/>
    <w:rsid w:val="00E844D2"/>
    <w:rsid w:val="00E965DB"/>
    <w:rsid w:val="00E97174"/>
    <w:rsid w:val="00EA1C33"/>
    <w:rsid w:val="00EA6728"/>
    <w:rsid w:val="00EC0881"/>
    <w:rsid w:val="00EC09AB"/>
    <w:rsid w:val="00EC0BDF"/>
    <w:rsid w:val="00ED3977"/>
    <w:rsid w:val="00EF099C"/>
    <w:rsid w:val="00EF2B8D"/>
    <w:rsid w:val="00F011CB"/>
    <w:rsid w:val="00F03F2E"/>
    <w:rsid w:val="00F1293D"/>
    <w:rsid w:val="00F21E19"/>
    <w:rsid w:val="00F34042"/>
    <w:rsid w:val="00F359DB"/>
    <w:rsid w:val="00F4229D"/>
    <w:rsid w:val="00F42BCC"/>
    <w:rsid w:val="00F451DD"/>
    <w:rsid w:val="00F568D6"/>
    <w:rsid w:val="00F56F5A"/>
    <w:rsid w:val="00F60FC8"/>
    <w:rsid w:val="00F6182C"/>
    <w:rsid w:val="00F72B23"/>
    <w:rsid w:val="00F757CD"/>
    <w:rsid w:val="00F83ADA"/>
    <w:rsid w:val="00F92A03"/>
    <w:rsid w:val="00FA375F"/>
    <w:rsid w:val="00FB66C9"/>
    <w:rsid w:val="00FB77AD"/>
    <w:rsid w:val="00FE3CFF"/>
    <w:rsid w:val="00FE4611"/>
    <w:rsid w:val="00FE4B0E"/>
    <w:rsid w:val="00FE6F09"/>
    <w:rsid w:val="00FF29D4"/>
    <w:rsid w:val="00FF3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6A409A"/>
  <w15:chartTrackingRefBased/>
  <w15:docId w15:val="{1283CEDB-1E6D-40E7-BF51-CBD54480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rFonts w:ascii="Arial" w:hAnsi="Arial" w:cs="Arial"/>
      <w:sz w:val="28"/>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poznpodarou">
    <w:name w:val="footnote text"/>
    <w:basedOn w:val="Normln"/>
    <w:link w:val="TextpoznpodarouChar"/>
    <w:uiPriority w:val="99"/>
    <w:semiHidden/>
    <w:unhideWhenUsed/>
    <w:rsid w:val="00F34042"/>
    <w:rPr>
      <w:sz w:val="20"/>
      <w:szCs w:val="20"/>
    </w:rPr>
  </w:style>
  <w:style w:type="character" w:customStyle="1" w:styleId="TextpoznpodarouChar">
    <w:name w:val="Text pozn. pod čarou Char"/>
    <w:basedOn w:val="Standardnpsmoodstavce"/>
    <w:link w:val="Textpoznpodarou"/>
    <w:uiPriority w:val="99"/>
    <w:semiHidden/>
    <w:rsid w:val="00F34042"/>
  </w:style>
  <w:style w:type="character" w:styleId="Znakapoznpodarou">
    <w:name w:val="footnote reference"/>
    <w:uiPriority w:val="99"/>
    <w:semiHidden/>
    <w:unhideWhenUsed/>
    <w:rsid w:val="00F34042"/>
    <w:rPr>
      <w:vertAlign w:val="superscript"/>
    </w:rPr>
  </w:style>
  <w:style w:type="paragraph" w:styleId="Odstavecseseznamem">
    <w:name w:val="List Paragraph"/>
    <w:basedOn w:val="Normln"/>
    <w:uiPriority w:val="34"/>
    <w:qFormat/>
    <w:rsid w:val="00603376"/>
    <w:pPr>
      <w:ind w:left="708"/>
    </w:pPr>
  </w:style>
  <w:style w:type="paragraph" w:styleId="Textbubliny">
    <w:name w:val="Balloon Text"/>
    <w:basedOn w:val="Normln"/>
    <w:link w:val="TextbublinyChar"/>
    <w:uiPriority w:val="99"/>
    <w:semiHidden/>
    <w:unhideWhenUsed/>
    <w:rsid w:val="00B84CAF"/>
    <w:rPr>
      <w:rFonts w:ascii="Tahoma" w:hAnsi="Tahoma"/>
      <w:sz w:val="16"/>
      <w:szCs w:val="16"/>
      <w:lang w:val="x-none" w:eastAsia="x-none"/>
    </w:rPr>
  </w:style>
  <w:style w:type="character" w:customStyle="1" w:styleId="TextbublinyChar">
    <w:name w:val="Text bubliny Char"/>
    <w:link w:val="Textbubliny"/>
    <w:uiPriority w:val="99"/>
    <w:semiHidden/>
    <w:rsid w:val="00B84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EFCD-0114-4458-83C2-4F39E607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1815</Words>
  <Characters>10710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Obecně závazná vyhláška obce Dolní Dobrouč č</vt:lpstr>
    </vt:vector>
  </TitlesOfParts>
  <Company>Obec Dolní Dobrouč</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Dolní Dobrouč č</dc:title>
  <dc:subject/>
  <dc:creator>DANA</dc:creator>
  <cp:keywords/>
  <cp:lastModifiedBy>Marcela Skalická</cp:lastModifiedBy>
  <cp:revision>2</cp:revision>
  <cp:lastPrinted>2023-05-15T12:25:00Z</cp:lastPrinted>
  <dcterms:created xsi:type="dcterms:W3CDTF">2023-05-15T15:07:00Z</dcterms:created>
  <dcterms:modified xsi:type="dcterms:W3CDTF">2023-05-15T15:07:00Z</dcterms:modified>
</cp:coreProperties>
</file>