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79"/>
        <w:ind w:left="10" w:right="3" w:hanging="10"/>
        <w:jc w:val="center"/>
        <w:rPr/>
      </w:pPr>
      <w:r>
        <w:rPr>
          <w:b/>
          <w:sz w:val="28"/>
        </w:rPr>
        <w:t xml:space="preserve">Nařízení Obce Radenice č.1/2024, </w:t>
      </w:r>
    </w:p>
    <w:p>
      <w:pPr>
        <w:pStyle w:val="Normal"/>
        <w:spacing w:lineRule="auto" w:line="259" w:before="0" w:after="0"/>
        <w:ind w:left="10" w:right="7" w:hanging="10"/>
        <w:jc w:val="center"/>
        <w:rPr>
          <w:b/>
          <w:b/>
          <w:sz w:val="28"/>
        </w:rPr>
      </w:pPr>
      <w:r>
        <w:rPr>
          <w:b/>
          <w:sz w:val="28"/>
        </w:rPr>
        <w:t xml:space="preserve">kterým se stanovuje zákaz podomního a pochůzkového prodeje </w:t>
      </w:r>
    </w:p>
    <w:p>
      <w:pPr>
        <w:pStyle w:val="Normal"/>
        <w:spacing w:lineRule="auto" w:line="259" w:before="0" w:after="0"/>
        <w:ind w:left="10" w:right="7" w:hanging="10"/>
        <w:jc w:val="center"/>
        <w:rPr/>
      </w:pPr>
      <w:r>
        <w:rPr/>
      </w:r>
    </w:p>
    <w:p>
      <w:pPr>
        <w:pStyle w:val="Normal"/>
        <w:spacing w:lineRule="auto" w:line="259" w:before="0" w:after="61"/>
        <w:ind w:left="0" w:hanging="0"/>
        <w:jc w:val="left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Zastupitelstvo obce Radenice se na svém zasedání dne 22.10.2024 usneslo vydat na základě § 18 zákona č. 455/1991 Sb., o živnostenském podnikání (živnostenský zákon), ve znění pozdějších předpisů a v souladu s §102 odst. 2 písm. d) zákona č. 128/2000Sb., o obcích, ve znění pozdějších předpisů, toto n a ř í z e n í: </w:t>
      </w:r>
    </w:p>
    <w:p>
      <w:pPr>
        <w:pStyle w:val="Normal"/>
        <w:spacing w:lineRule="auto" w:line="259" w:before="0" w:after="49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50"/>
        <w:ind w:left="3871" w:right="3865" w:hanging="10"/>
        <w:jc w:val="center"/>
        <w:rPr>
          <w:b/>
          <w:b/>
        </w:rPr>
      </w:pPr>
      <w:r>
        <w:rPr>
          <w:b/>
        </w:rPr>
        <w:t xml:space="preserve">Čl. I </w:t>
      </w:r>
    </w:p>
    <w:p>
      <w:pPr>
        <w:pStyle w:val="Normal"/>
        <w:spacing w:lineRule="auto" w:line="259" w:before="0" w:after="50"/>
        <w:ind w:left="3871" w:right="3865" w:hanging="10"/>
        <w:jc w:val="center"/>
        <w:rPr/>
      </w:pPr>
      <w:r>
        <w:rPr>
          <w:b/>
        </w:rPr>
        <w:t xml:space="preserve">Účel nařízení </w:t>
      </w:r>
    </w:p>
    <w:p>
      <w:pPr>
        <w:pStyle w:val="Normal"/>
        <w:ind w:left="-5" w:hanging="10"/>
        <w:rPr/>
      </w:pPr>
      <w:r>
        <w:rPr/>
        <w:t xml:space="preserve">Toto nařízení stanoví podmínky podomního a pochůzkového prodeje v obci. </w:t>
      </w:r>
    </w:p>
    <w:p>
      <w:pPr>
        <w:pStyle w:val="Normal"/>
        <w:spacing w:lineRule="auto" w:line="259" w:before="0" w:after="29"/>
        <w:ind w:left="0" w:hanging="0"/>
        <w:jc w:val="left"/>
        <w:rPr/>
      </w:pPr>
      <w:r>
        <w:rPr/>
        <w:t xml:space="preserve"> </w:t>
      </w:r>
    </w:p>
    <w:p>
      <w:pPr>
        <w:pStyle w:val="Nadpis1"/>
        <w:ind w:left="10" w:right="11" w:hanging="10"/>
        <w:rPr/>
      </w:pPr>
      <w:r>
        <w:rPr/>
        <w:t>Čl. II</w:t>
      </w:r>
    </w:p>
    <w:p>
      <w:pPr>
        <w:pStyle w:val="Nadpis1"/>
        <w:ind w:left="10" w:right="11" w:hanging="10"/>
        <w:rPr/>
      </w:pPr>
      <w:r>
        <w:rPr/>
        <w:t>Vymezení pojmů</w:t>
      </w:r>
    </w:p>
    <w:p>
      <w:pPr>
        <w:pStyle w:val="Normal"/>
        <w:numPr>
          <w:ilvl w:val="0"/>
          <w:numId w:val="1"/>
        </w:numPr>
        <w:spacing w:before="0" w:after="36"/>
        <w:ind w:left="360" w:hanging="360"/>
        <w:rPr/>
      </w:pPr>
      <w:r>
        <w:rPr>
          <w:u w:val="single"/>
        </w:rPr>
        <w:t>Podomním prodejem</w:t>
      </w:r>
      <w:r>
        <w:rPr/>
        <w:t xml:space="preserve"> se rozumí všechny formy prodeje a poskytování služeb bez předchozí objednávky, případně jen nabízení zboží a služeb fyzickými osobami či zástupci právnických osob, uživatelům bytových jednotek v objektech určených k bydlení, a dále uživatelům objektů sloužících k rekreaci. </w:t>
      </w:r>
    </w:p>
    <w:p>
      <w:pPr>
        <w:pStyle w:val="Normal"/>
        <w:numPr>
          <w:ilvl w:val="0"/>
          <w:numId w:val="1"/>
        </w:numPr>
        <w:spacing w:before="0" w:after="36"/>
        <w:ind w:left="360" w:hanging="360"/>
        <w:rPr/>
      </w:pPr>
      <w:r>
        <w:rPr>
          <w:u w:val="single"/>
        </w:rPr>
        <w:t>Pochůzkovým prodejem</w:t>
      </w:r>
      <w:r>
        <w:rPr/>
        <w:t xml:space="preserve"> se rozumí prodej zboží či poskytování služeb nebo nabízení prodeje zboží či poskytování služeb mimo provozovnu určenou k tomuto účelu s použitím přenosného nebo neseného zařízení (konstrukce, tyče, závěsného pultu, zavazadel, tašek a podobných zařízení) nebo přímo z ruky. Pochůzkový prodej je zpravidla provozován formou pochůzky, při níž je potenciální uživatel zboží nebo služeb vyhledáván prodejcem z okruhu osob na veřejném prostranství či veřejně přístupných místech, přičemž není rozhodující, zda ten, kdo zboží nebo služby prodává či nabízí, se přemísťuje nebo postává na místě.</w:t>
      </w:r>
    </w:p>
    <w:p>
      <w:pPr>
        <w:pStyle w:val="Normal"/>
        <w:numPr>
          <w:ilvl w:val="0"/>
          <w:numId w:val="1"/>
        </w:numPr>
        <w:spacing w:before="0" w:after="43"/>
        <w:ind w:left="360" w:hanging="360"/>
        <w:rPr/>
      </w:pPr>
      <w:r>
        <w:rPr/>
        <w:t xml:space="preserve">Podomní a pochůzkový prodej na území obce Radenice je </w:t>
      </w:r>
      <w:r>
        <w:rPr>
          <w:b/>
        </w:rPr>
        <w:t>zakázán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ind w:left="360" w:hanging="360"/>
        <w:rPr/>
      </w:pPr>
      <w:r>
        <w:rPr/>
        <w:t xml:space="preserve">Kontrolu dodržování tohoto nařízení provádí obecní úřad obce Radenice. </w:t>
      </w:r>
    </w:p>
    <w:p>
      <w:pPr>
        <w:pStyle w:val="Normal"/>
        <w:spacing w:lineRule="auto" w:line="259" w:before="0" w:after="21"/>
        <w:ind w:left="0" w:hanging="0"/>
        <w:jc w:val="left"/>
        <w:rPr/>
      </w:pPr>
      <w:r>
        <w:rPr/>
        <w:t xml:space="preserve"> </w:t>
      </w:r>
    </w:p>
    <w:p>
      <w:pPr>
        <w:pStyle w:val="Nadpis1"/>
        <w:spacing w:before="0" w:after="4"/>
        <w:ind w:left="10" w:right="7" w:hanging="10"/>
        <w:rPr/>
      </w:pPr>
      <w:r>
        <w:rPr/>
        <w:t>Čl. III</w:t>
      </w:r>
    </w:p>
    <w:p>
      <w:pPr>
        <w:pStyle w:val="Normal"/>
        <w:ind w:left="-5" w:hanging="10"/>
        <w:jc w:val="center"/>
        <w:rPr>
          <w:b/>
          <w:b/>
        </w:rPr>
      </w:pPr>
      <w:r>
        <w:rPr>
          <w:b/>
        </w:rPr>
        <w:t>Zakázané druhy prodeje zboží a poskytovaných služeb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1. Na území obce Radenice se zakazuje podomní prodej.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2. Na území obce Radenice se zakazuje pochůzkový prodej.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Tyto zákazy platí v celém katastrálním území obce Radenice.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center"/>
        <w:rPr>
          <w:b/>
          <w:b/>
        </w:rPr>
      </w:pPr>
      <w:r>
        <w:rPr/>
      </w:r>
      <w:r>
        <w:br w:type="page"/>
      </w:r>
    </w:p>
    <w:p>
      <w:pPr>
        <w:pStyle w:val="Normal"/>
        <w:ind w:left="-5" w:hanging="10"/>
        <w:jc w:val="center"/>
        <w:rPr/>
      </w:pPr>
      <w:r>
        <w:rPr>
          <w:b/>
        </w:rPr>
        <w:t>Čl.V</w:t>
      </w:r>
    </w:p>
    <w:p>
      <w:pPr>
        <w:pStyle w:val="Normal"/>
        <w:ind w:left="-5" w:hanging="10"/>
        <w:jc w:val="center"/>
        <w:rPr>
          <w:b/>
          <w:b/>
        </w:rPr>
      </w:pPr>
      <w:r>
        <w:rPr>
          <w:b/>
        </w:rPr>
        <w:t>Druhy prodeje zboží a poskytování služeb a místa, na která se toto nařízení nevztahuje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Zákaz uvedený v ust. Čl. 2 toho to nařízení se nevztahuje: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a) na ohlášené očkování domácích zvířat,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b) na prodej v pojízdné prodejně a obdobném zařízení sloužícím k prodeji zboží nebo poskytování služeb, který je předem nahlášen na Obecním úřadě Radenice,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c) na nabídku a prodej zboží a poskytování služeb při výstavních, školních a kulturních akcích, slavnostech, veřejných vystoupeních, sportovních podnicích a akcích pořádaných místními spolky pro občany obce,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d) na restaurační předzahrádky,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  <w:t>e) ohlášené veřejné sbírky.</w:t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left"/>
        <w:rPr>
          <w:bCs/>
        </w:rPr>
      </w:pPr>
      <w:r>
        <w:rPr>
          <w:bCs/>
        </w:rPr>
      </w:r>
    </w:p>
    <w:p>
      <w:pPr>
        <w:pStyle w:val="Normal"/>
        <w:ind w:left="-5" w:hanging="10"/>
        <w:jc w:val="center"/>
        <w:rPr>
          <w:b/>
          <w:b/>
        </w:rPr>
      </w:pPr>
      <w:r>
        <w:rPr>
          <w:b/>
        </w:rPr>
        <w:t>Čl .VI</w:t>
      </w:r>
    </w:p>
    <w:p>
      <w:pPr>
        <w:pStyle w:val="Normal"/>
        <w:ind w:left="-5" w:hanging="10"/>
        <w:jc w:val="center"/>
        <w:rPr>
          <w:b/>
          <w:b/>
        </w:rPr>
      </w:pPr>
      <w:r>
        <w:rPr>
          <w:b/>
        </w:rPr>
        <w:t>Sankce</w:t>
      </w:r>
    </w:p>
    <w:p>
      <w:pPr>
        <w:pStyle w:val="Normal"/>
        <w:ind w:left="-5" w:hanging="10"/>
        <w:rPr/>
      </w:pPr>
      <w:r>
        <w:rPr/>
        <w:t xml:space="preserve">Podle §4 zákona č. 251/2016 S., o některých přestupcích, ve znění pozdějších předpisů: „Fyzická, právnická nebo podnikající osoba se dopustí přestupku tím, že poruší povinnost stanovenou v nařízení obce nebo kraje“. Za přestupek lze uložit pokutu do 100 000 Kč. </w:t>
      </w:r>
    </w:p>
    <w:p>
      <w:pPr>
        <w:pStyle w:val="Normal"/>
        <w:spacing w:lineRule="auto" w:line="259" w:before="0" w:after="22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7"/>
        <w:ind w:left="0" w:hanging="0"/>
        <w:jc w:val="left"/>
        <w:rPr/>
      </w:pPr>
      <w:r>
        <w:rPr/>
      </w:r>
    </w:p>
    <w:p>
      <w:pPr>
        <w:pStyle w:val="Nadpis1"/>
        <w:spacing w:before="0" w:after="24"/>
        <w:ind w:left="10" w:right="7" w:hanging="10"/>
        <w:rPr/>
      </w:pPr>
      <w:r>
        <w:rPr/>
        <w:t>Čl. V II</w:t>
      </w:r>
    </w:p>
    <w:p>
      <w:pPr>
        <w:pStyle w:val="Normal"/>
        <w:ind w:left="-15" w:right="3574" w:firstLine="4081"/>
        <w:rPr>
          <w:b/>
          <w:b/>
        </w:rPr>
      </w:pPr>
      <w:r>
        <w:rPr>
          <w:b/>
        </w:rPr>
        <w:t xml:space="preserve">Účinnost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>Toto nařízení nabývá účinnosti patnáctým dnem po svém vyvěšení na úřední desce</w:t>
      </w:r>
      <w:r>
        <w:rPr>
          <w:i/>
          <w:color w:val="1A4BD6"/>
        </w:rPr>
        <w:t xml:space="preserve"> </w:t>
      </w:r>
    </w:p>
    <w:p>
      <w:pPr>
        <w:pStyle w:val="Normal"/>
        <w:spacing w:lineRule="auto" w:line="259" w:before="0" w:after="10"/>
        <w:ind w:left="0" w:hanging="0"/>
        <w:jc w:val="left"/>
        <w:rPr>
          <w:iCs/>
        </w:rPr>
      </w:pPr>
      <w:r>
        <w:rPr>
          <w:i/>
        </w:rPr>
        <w:t xml:space="preserve"> </w:t>
      </w:r>
      <w:r>
        <w:rPr>
          <w:i/>
        </w:rPr>
        <w:tab/>
      </w:r>
    </w:p>
    <w:p>
      <w:pPr>
        <w:pStyle w:val="Normal"/>
        <w:spacing w:lineRule="auto" w:line="259" w:before="0" w:after="10"/>
        <w:ind w:left="0" w:hanging="0"/>
        <w:jc w:val="left"/>
        <w:rPr>
          <w:iCs/>
        </w:rPr>
      </w:pPr>
      <w:r>
        <w:rPr>
          <w:iCs/>
        </w:rPr>
      </w:r>
    </w:p>
    <w:p>
      <w:pPr>
        <w:pStyle w:val="Normal"/>
        <w:spacing w:lineRule="auto" w:line="259" w:before="0" w:after="10"/>
        <w:ind w:left="0" w:hanging="0"/>
        <w:jc w:val="left"/>
        <w:rPr>
          <w:iCs/>
        </w:rPr>
      </w:pPr>
      <w:r>
        <w:rPr>
          <w:iCs/>
        </w:rPr>
      </w:r>
    </w:p>
    <w:p>
      <w:pPr>
        <w:pStyle w:val="Normal"/>
        <w:spacing w:lineRule="auto" w:line="259" w:before="0" w:after="10"/>
        <w:ind w:left="0" w:hanging="0"/>
        <w:jc w:val="left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6"/>
        <w:ind w:left="0" w:hanging="0"/>
        <w:jc w:val="left"/>
        <w:rPr/>
      </w:pPr>
      <w:r>
        <w:rPr>
          <w:rFonts w:eastAsia="Arial" w:cs="Arial" w:ascii="Arial" w:hAnsi="Arial"/>
          <w:i/>
        </w:rPr>
        <w:t xml:space="preserve"> </w:t>
      </w:r>
    </w:p>
    <w:p>
      <w:pPr>
        <w:pStyle w:val="Normal"/>
        <w:spacing w:lineRule="auto" w:line="259" w:before="0" w:after="40"/>
        <w:ind w:left="0" w:hanging="0"/>
        <w:jc w:val="left"/>
        <w:rPr/>
      </w:pP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  <w:i/>
        </w:rPr>
        <w:tab/>
        <w:t xml:space="preserve"> </w:t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/>
      </w:pPr>
      <w:r>
        <w:rPr>
          <w:rFonts w:eastAsia="Arial" w:cs="Arial" w:ascii="Arial" w:hAnsi="Arial"/>
          <w:i/>
        </w:rPr>
        <w:tab/>
      </w:r>
      <w:r>
        <w:rPr>
          <w:rFonts w:eastAsia="Arial" w:cs="Arial" w:ascii="Arial" w:hAnsi="Arial"/>
          <w:iCs/>
        </w:rPr>
        <w:t xml:space="preserve">   </w:t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>
          <w:rFonts w:ascii="Arial" w:hAnsi="Arial" w:eastAsia="Arial" w:cs="Arial"/>
          <w:iCs/>
        </w:rPr>
      </w:pPr>
      <w:r>
        <w:rPr/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>
          <w:rFonts w:ascii="Arial" w:hAnsi="Arial" w:eastAsia="Arial" w:cs="Arial"/>
          <w:iCs/>
        </w:rPr>
      </w:pPr>
      <w:r>
        <w:rPr/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>
          <w:rFonts w:ascii="Arial" w:hAnsi="Arial" w:eastAsia="Arial" w:cs="Arial"/>
          <w:iCs/>
        </w:rPr>
      </w:pPr>
      <w:r>
        <w:rPr/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>
          <w:rFonts w:ascii="Arial" w:hAnsi="Arial" w:eastAsia="Arial" w:cs="Arial"/>
          <w:iCs/>
        </w:rPr>
      </w:pPr>
      <w:r>
        <w:rPr/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>
          <w:rFonts w:ascii="Arial" w:hAnsi="Arial" w:eastAsia="Arial" w:cs="Arial"/>
          <w:iCs/>
        </w:rPr>
      </w:pPr>
      <w:r>
        <w:rPr/>
      </w:r>
    </w:p>
    <w:p>
      <w:pPr>
        <w:pStyle w:val="Normal"/>
        <w:tabs>
          <w:tab w:val="clear" w:pos="708"/>
          <w:tab w:val="center" w:pos="1495" w:leader="none"/>
          <w:tab w:val="center" w:pos="6980" w:leader="none"/>
        </w:tabs>
        <w:spacing w:lineRule="auto" w:line="259" w:before="0" w:after="20"/>
        <w:ind w:left="-15" w:hanging="0"/>
        <w:jc w:val="left"/>
        <w:rPr/>
      </w:pPr>
      <w:r>
        <w:rPr>
          <w:rFonts w:eastAsia="Arial" w:cs="Arial" w:ascii="Arial" w:hAnsi="Arial"/>
          <w:iCs/>
        </w:rPr>
        <w:tab/>
        <w:t xml:space="preserve"> </w:t>
      </w:r>
      <w:r>
        <w:rPr>
          <w:rFonts w:eastAsia="Arial"/>
          <w:iCs/>
        </w:rPr>
        <w:t>Jana Ptáčková</w:t>
      </w:r>
      <w:r>
        <w:rPr>
          <w:rFonts w:eastAsia="Arial"/>
          <w:i/>
        </w:rPr>
        <w:t xml:space="preserve"> </w:t>
        <w:tab/>
        <w:t xml:space="preserve">    </w:t>
      </w:r>
      <w:r>
        <w:rPr>
          <w:rFonts w:eastAsia="Arial"/>
          <w:iCs/>
        </w:rPr>
        <w:t>Jindřich Bartoš</w:t>
      </w:r>
      <w:r>
        <w:rPr>
          <w:rFonts w:eastAsia="Arial"/>
          <w:i/>
        </w:rPr>
        <w:t xml:space="preserve"> </w:t>
      </w:r>
    </w:p>
    <w:p>
      <w:pPr>
        <w:pStyle w:val="Normal"/>
        <w:spacing w:before="0" w:after="4"/>
        <w:ind w:left="-5" w:hanging="10"/>
        <w:rPr/>
      </w:pPr>
      <w:r>
        <w:rPr/>
        <w:t xml:space="preserve">                </w:t>
      </w:r>
      <w:r>
        <w:rPr/>
        <w:t xml:space="preserve">místostarostka                                                                          starosta </w:t>
      </w:r>
    </w:p>
    <w:sectPr>
      <w:type w:val="nextPage"/>
      <w:pgSz w:w="11906" w:h="16838"/>
      <w:pgMar w:left="1417" w:right="1412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1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18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25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30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02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474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546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18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Cs w:val="22"/>
        <w:lang w:val="cs-CZ" w:eastAsia="cs-CZ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64" w:before="0" w:after="4"/>
      <w:ind w:left="10" w:hanging="10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2"/>
      <w:lang w:val="cs-CZ" w:eastAsia="cs-CZ" w:bidi="ar-SA"/>
    </w:rPr>
  </w:style>
  <w:style w:type="paragraph" w:styleId="Nadpis1">
    <w:name w:val="Heading 1"/>
    <w:next w:val="Normal"/>
    <w:link w:val="Nadpis1Char"/>
    <w:uiPriority w:val="9"/>
    <w:qFormat/>
    <w:pPr>
      <w:keepNext w:val="true"/>
      <w:keepLines/>
      <w:widowControl/>
      <w:bidi w:val="0"/>
      <w:spacing w:lineRule="auto" w:line="259" w:before="0" w:after="50"/>
      <w:ind w:left="3871" w:right="3865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4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LibreOffice/6.2.0.3$Windows_X86_64 LibreOffice_project/98c6a8a1c6c7b144ce3cc729e34964b47ce25d62</Application>
  <Pages>2</Pages>
  <Words>427</Words>
  <Characters>2415</Characters>
  <CharactersWithSpaces>2931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2024-10-19T17:38:00Z</dcterms:created>
  <dc:creator>Kutnerova</dc:creator>
  <dc:description/>
  <dc:language>cs-CZ</dc:language>
  <cp:lastModifiedBy/>
  <cp:lastPrinted>2024-10-22T19:12:33Z</cp:lastPrinted>
  <dcterms:modified xsi:type="dcterms:W3CDTF">2024-12-03T21:10:43Z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