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Drobovice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Drobovice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Drobovice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Zastupitelstvo obce Drobovice se na svém zasedání dne 15. 12. 2022 usnesením </w:t>
        <w:br/>
        <w:t xml:space="preserve">č. 72/2022 usneslo vydat na základě § 14 zákona č. 565/1990 Sb., o místních poplatcích, ve znění pozdějších předpisů (dále jen „zákon o místních poplatcích“), a v souladu s § 10 písm. d) </w:t>
        <w:br/>
        <w:t xml:space="preserve">a § 84 odst. 2 písm. h) zákona č. 128/2000 Sb., o obcích (obecní zřízení), ve znění pozdějších předpisů, tuto obecně závaznou vyhlášku (dále jen „tato vyhláška“): 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Úvodní ustanovení</w:t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Drobovice touto vyhláškou zavádí místní poplatek za užívání veřejného prostranství (dále jen „poplatek“).</w:t>
      </w:r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Předmět poplatku a poplatník</w:t>
      </w:r>
    </w:p>
    <w:p>
      <w:pPr>
        <w:pStyle w:val="Normal"/>
        <w:numPr>
          <w:ilvl w:val="0"/>
          <w:numId w:val="8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8"/>
        </w:numPr>
        <w:spacing w:lineRule="auto" w:line="312"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Čl. 3  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Veřejná prostranství 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Poplatek se platí za užívání veřejných prostranství, která jsou uvedena v příloze č. 1.  Tato příloha tvoří nedílnou součást této vyhlášky.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Ohlašovací povinnost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ohlásit zvláštní užívání veřejného prostranství správci poplatku nejpozději 15 dní před zahájením užívání veřejného prostranství. V případě užívání veřejného prostranství po dobu kratší než 7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1"/>
          <w:numId w:val="6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             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6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>
      <w:pPr>
        <w:pStyle w:val="Normal"/>
        <w:numPr>
          <w:ilvl w:val="1"/>
          <w:numId w:val="6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5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Sazba poplatku</w:t>
      </w:r>
    </w:p>
    <w:p>
      <w:pPr>
        <w:pStyle w:val="Normal"/>
        <w:suppressAutoHyphens w:val="true"/>
        <w:spacing w:lineRule="auto" w:line="312"/>
        <w:ind w:left="567" w:right="0" w:hanging="0"/>
        <w:jc w:val="both"/>
        <w:rPr/>
      </w:pPr>
      <w:r>
        <w:rPr>
          <w:rFonts w:cs="Arial" w:ascii="Arial" w:hAnsi="Arial"/>
          <w:sz w:val="22"/>
          <w:szCs w:val="22"/>
          <w:lang w:eastAsia="zh-CN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  <w:lang w:eastAsia="zh-CN"/>
        </w:rPr>
        <w:t>2</w:t>
      </w:r>
      <w:r>
        <w:rPr>
          <w:rFonts w:cs="Arial" w:ascii="Arial" w:hAnsi="Arial"/>
          <w:sz w:val="22"/>
          <w:szCs w:val="22"/>
          <w:lang w:eastAsia="zh-CN"/>
        </w:rPr>
        <w:t xml:space="preserve"> a každý i započatý den: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umístění dočasných staveb a zařízení sloužících pro poskytování služeb .......................................................................................................................10,- 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/>
      </w:pPr>
      <w:r>
        <w:rPr>
          <w:rFonts w:cs="Arial" w:ascii="Arial" w:hAnsi="Arial"/>
          <w:sz w:val="22"/>
          <w:szCs w:val="22"/>
          <w:lang w:eastAsia="zh-CN"/>
        </w:rPr>
        <w:t>za umístění dočasných staveb</w:t>
      </w:r>
      <w:r>
        <w:rPr>
          <w:rFonts w:cs="Arial" w:ascii="Arial" w:hAnsi="Arial"/>
          <w:i/>
          <w:iCs/>
          <w:sz w:val="22"/>
          <w:szCs w:val="22"/>
          <w:lang w:eastAsia="zh-CN"/>
        </w:rPr>
        <w:t xml:space="preserve"> </w:t>
      </w:r>
      <w:r>
        <w:rPr>
          <w:rFonts w:cs="Arial" w:ascii="Arial" w:hAnsi="Arial"/>
          <w:sz w:val="22"/>
          <w:szCs w:val="22"/>
          <w:lang w:eastAsia="zh-CN"/>
        </w:rPr>
        <w:t>sloužících pro poskytování prodeje ……….  10,- 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/>
      </w:pPr>
      <w:r>
        <w:rPr>
          <w:rFonts w:cs="Arial" w:ascii="Arial" w:hAnsi="Arial"/>
          <w:iCs/>
          <w:sz w:val="22"/>
          <w:szCs w:val="22"/>
          <w:lang w:eastAsia="zh-CN"/>
        </w:rPr>
        <w:t>za umístění zařízení sloužících pro poskytování prodeje</w:t>
      </w:r>
      <w:r>
        <w:rPr>
          <w:rFonts w:cs="Arial" w:ascii="Arial" w:hAnsi="Arial"/>
          <w:i/>
          <w:iCs/>
          <w:sz w:val="22"/>
          <w:szCs w:val="22"/>
          <w:lang w:eastAsia="zh-CN"/>
        </w:rPr>
        <w:t>.........................…</w:t>
      </w:r>
      <w:r>
        <w:rPr>
          <w:rFonts w:cs="Arial" w:ascii="Arial" w:hAnsi="Arial"/>
          <w:sz w:val="22"/>
          <w:szCs w:val="22"/>
          <w:lang w:eastAsia="zh-CN"/>
        </w:rPr>
        <w:t>. 10,- 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provádění výkopových prací ......................................................….....… 10,-</w:t>
        <w:tab/>
        <w:t>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umístění stavebních zařízení ....................................................................5,-</w:t>
        <w:tab/>
        <w:t>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/>
      </w:pPr>
      <w:r>
        <w:rPr>
          <w:rFonts w:cs="Arial" w:ascii="Arial" w:hAnsi="Arial"/>
          <w:iCs/>
          <w:sz w:val="22"/>
          <w:szCs w:val="22"/>
          <w:lang w:eastAsia="zh-CN"/>
        </w:rPr>
        <w:t>za umístění reklamních zařízení ....................................................…..........10,-</w:t>
        <w:tab/>
        <w:t>K</w:t>
      </w:r>
      <w:r>
        <w:rPr>
          <w:rFonts w:cs="Arial" w:ascii="Arial" w:hAnsi="Arial"/>
          <w:sz w:val="22"/>
          <w:szCs w:val="22"/>
          <w:lang w:eastAsia="zh-CN"/>
        </w:rPr>
        <w:t>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rPr>
          <w:rFonts w:ascii="Arial" w:hAnsi="Arial" w:cs="Arial"/>
          <w:iCs/>
          <w:sz w:val="22"/>
          <w:szCs w:val="22"/>
          <w:lang w:eastAsia="zh-CN"/>
        </w:rPr>
      </w:pPr>
      <w:r>
        <w:rPr>
          <w:rFonts w:cs="Arial" w:ascii="Arial" w:hAnsi="Arial"/>
          <w:iCs/>
          <w:sz w:val="22"/>
          <w:szCs w:val="22"/>
          <w:lang w:eastAsia="zh-CN"/>
        </w:rPr>
        <w:t>za umístění zařízení lunaparků a jiných obdobných atrakcí ........................10,-</w:t>
        <w:tab/>
        <w:t>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umístění zařízení cirkusů ........................................................................10,-</w:t>
        <w:tab/>
        <w:t>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umístění skládek .....................................................................................10,-</w:t>
        <w:tab/>
        <w:t>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vyhrazení trvalého parkovacího místa ..................................................... 3,- 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 xml:space="preserve">za užívání veřejného prostranství pro kulturní akce ............................…....10,- </w:t>
        <w:tab/>
        <w:t>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užívání veřejného prostranství pro sportovní akce .................................10,-</w:t>
        <w:tab/>
        <w:t>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užívání veřejného prostranství pro reklamní akce ..................................10,-</w:t>
        <w:tab/>
        <w:t>Kč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uppressAutoHyphens w:val="true"/>
        <w:spacing w:lineRule="auto" w:line="312" w:before="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za užívání veřejného prostranství pro potřeby tvorby filmových a televizních děl.................................................................................................................10,-</w:t>
        <w:tab/>
        <w:t>Kč.</w:t>
      </w:r>
    </w:p>
    <w:p>
      <w:pPr>
        <w:pStyle w:val="Nzvylnk"/>
        <w:rPr>
          <w:rFonts w:ascii="Arial" w:hAnsi="Arial" w:cs="Arial"/>
          <w:szCs w:val="24"/>
          <w:lang w:eastAsia="zh-CN"/>
        </w:rPr>
      </w:pPr>
      <w:r>
        <w:rPr>
          <w:rFonts w:cs="Arial" w:ascii="Arial" w:hAnsi="Arial"/>
          <w:szCs w:val="24"/>
          <w:lang w:eastAsia="zh-CN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6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Splatnost poplatku 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ve stanovené výši je splatný:</w:t>
      </w:r>
    </w:p>
    <w:p>
      <w:pPr>
        <w:pStyle w:val="Normal"/>
        <w:numPr>
          <w:ilvl w:val="1"/>
          <w:numId w:val="4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kratší 3 dnů nejpozději v den zahájení užívání veřejného prostranství,</w:t>
      </w:r>
    </w:p>
    <w:p>
      <w:pPr>
        <w:pStyle w:val="Normal"/>
        <w:numPr>
          <w:ilvl w:val="1"/>
          <w:numId w:val="4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3 dnů nebo delší nejpozději do 7 dnů od ukončení užívání veřejného prostranství.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Osvobození </w:t>
      </w:r>
    </w:p>
    <w:p>
      <w:pPr>
        <w:pStyle w:val="Normal"/>
        <w:numPr>
          <w:ilvl w:val="0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312" w:before="60" w:after="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312" w:before="60" w:after="0"/>
        <w:ind w:left="567" w:right="0" w:hanging="0"/>
        <w:jc w:val="both"/>
        <w:rPr/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9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9"/>
        </w:numPr>
        <w:spacing w:lineRule="auto" w:line="312" w:before="6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8</w:t>
      </w:r>
    </w:p>
    <w:p>
      <w:pPr>
        <w:pStyle w:val="Nzvylnk"/>
        <w:rPr/>
      </w:pPr>
      <w:r>
        <w:rPr>
          <w:rFonts w:cs="Arial" w:ascii="Arial" w:hAnsi="Arial"/>
          <w:szCs w:val="24"/>
        </w:rPr>
        <w:t>Navýšení poplatku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Style w:val="Ukotvenpoznmkypodarou"/>
          <w:rFonts w:cs="Arial" w:ascii="Arial" w:hAnsi="Arial"/>
          <w:sz w:val="22"/>
          <w:szCs w:val="22"/>
          <w:vertAlign w:val="superscript"/>
        </w:rPr>
        <w:footnoteReference w:id="11"/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Style w:val="Ukotvenpoznmkypodarou"/>
          <w:rFonts w:cs="Arial" w:ascii="Arial" w:hAnsi="Arial"/>
          <w:sz w:val="22"/>
          <w:szCs w:val="22"/>
          <w:vertAlign w:val="superscript"/>
        </w:rPr>
        <w:footnoteReference w:id="1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9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ormal"/>
        <w:spacing w:lineRule="auto" w:line="312" w:before="120" w:after="0"/>
        <w:ind w:left="0" w:righ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2023. 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/>
      </w:pPr>
      <w:r>
        <w:rPr>
          <w:rFonts w:eastAsia="Arial" w:cs="Arial" w:ascii="Arial" w:hAnsi="Arial"/>
        </w:rPr>
        <w:t xml:space="preserve">            </w:t>
      </w:r>
      <w:r>
        <w:rPr>
          <w:rFonts w:cs="Arial" w:ascii="Arial" w:hAnsi="Arial"/>
        </w:rPr>
        <w:t>Mgr. Michal Louda v. r.                                           Martina Hamsová, DiS. v. r.</w:t>
        <w:tab/>
        <w:t>místostarosta</w:t>
        <w:tab/>
        <w:t xml:space="preserve">     starosta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jc w:val="center"/>
        <w:rPr>
          <w:rFonts w:ascii="Arial" w:hAnsi="Arial" w:cs="Arial"/>
          <w:b/>
          <w:b/>
          <w:color w:val="000000"/>
          <w:sz w:val="27"/>
          <w:szCs w:val="27"/>
          <w:lang w:eastAsia="zh-CN"/>
        </w:rPr>
      </w:pPr>
      <w:r>
        <w:rPr>
          <w:rFonts w:cs="Arial" w:ascii="Arial" w:hAnsi="Arial"/>
          <w:b/>
          <w:color w:val="000000"/>
          <w:sz w:val="27"/>
          <w:szCs w:val="27"/>
          <w:lang w:eastAsia="zh-CN"/>
        </w:rPr>
        <w:t>Příloha č. 1 Obecně závazné vyhlášky obce Drobovice  o místním poplatku za užívání veřejného prostranství.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cs="Arial"/>
          <w:b/>
          <w:b/>
          <w:color w:val="000000"/>
          <w:sz w:val="27"/>
          <w:szCs w:val="27"/>
          <w:lang w:eastAsia="zh-CN"/>
        </w:rPr>
      </w:pPr>
      <w:r>
        <w:rPr>
          <w:rFonts w:cs="Arial" w:ascii="Arial" w:hAnsi="Arial"/>
          <w:b/>
          <w:color w:val="000000"/>
          <w:sz w:val="27"/>
          <w:szCs w:val="27"/>
          <w:lang w:eastAsia="zh-CN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jc w:val="center"/>
        <w:rPr>
          <w:rFonts w:ascii="Arial" w:hAnsi="Arial" w:cs="Arial"/>
          <w:b/>
          <w:b/>
          <w:sz w:val="22"/>
          <w:szCs w:val="22"/>
          <w:lang w:eastAsia="zh-CN"/>
        </w:rPr>
      </w:pPr>
      <w:r>
        <w:rPr>
          <w:rFonts w:cs="Arial" w:ascii="Arial" w:hAnsi="Arial"/>
          <w:b/>
          <w:sz w:val="22"/>
          <w:szCs w:val="22"/>
          <w:lang w:eastAsia="zh-CN"/>
        </w:rPr>
        <w:t>Veřejná prostranství, která podléhají místnímu poplatku za užívání veřejného prostranství v obci Drobovice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cs="Arial"/>
          <w:b/>
          <w:b/>
          <w:sz w:val="22"/>
          <w:szCs w:val="22"/>
          <w:lang w:eastAsia="zh-CN"/>
        </w:rPr>
      </w:pPr>
      <w:r>
        <w:rPr>
          <w:rFonts w:cs="Arial" w:ascii="Arial" w:hAnsi="Arial"/>
          <w:b/>
          <w:sz w:val="22"/>
          <w:szCs w:val="22"/>
          <w:lang w:eastAsia="zh-CN"/>
        </w:rPr>
      </w:r>
    </w:p>
    <w:p>
      <w:pPr>
        <w:pStyle w:val="Normal"/>
        <w:numPr>
          <w:ilvl w:val="6"/>
          <w:numId w:val="2"/>
        </w:numPr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Parkoviště přilehlé k silnici první třídy č. 38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ind w:left="2880" w:right="0" w:hanging="0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drawing>
          <wp:inline distT="0" distB="0" distL="0" distR="0">
            <wp:extent cx="5753735" cy="271716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40" r="-1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eastAsia="Arial" w:cs="Arial"/>
          <w:sz w:val="22"/>
          <w:szCs w:val="22"/>
          <w:lang w:eastAsia="zh-CN"/>
        </w:rPr>
      </w:pPr>
      <w:r>
        <w:rPr>
          <w:rFonts w:eastAsia="Arial" w:cs="Arial" w:ascii="Arial" w:hAnsi="Arial"/>
          <w:sz w:val="22"/>
          <w:szCs w:val="22"/>
          <w:lang w:eastAsia="zh-CN"/>
        </w:rPr>
        <w:t xml:space="preserve"> </w:t>
      </w:r>
    </w:p>
    <w:p>
      <w:pPr>
        <w:pStyle w:val="Normal"/>
        <w:numPr>
          <w:ilvl w:val="6"/>
          <w:numId w:val="2"/>
        </w:numPr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Prostor na návsi před Hasičskou zbrojnicí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drawing>
          <wp:inline distT="0" distB="0" distL="0" distR="0">
            <wp:extent cx="5760720" cy="2802890"/>
            <wp:effectExtent l="0" t="0" r="0" b="0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9" t="-32" r="-19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uppressAutoHyphens w:val="true"/>
        <w:spacing w:lineRule="auto" w:line="312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</w:r>
    </w:p>
    <w:p>
      <w:pPr>
        <w:pStyle w:val="Normal"/>
        <w:numPr>
          <w:ilvl w:val="6"/>
          <w:numId w:val="2"/>
        </w:numPr>
        <w:tabs>
          <w:tab w:val="clear" w:pos="708"/>
          <w:tab w:val="left" w:pos="1080" w:leader="none"/>
          <w:tab w:val="left" w:pos="6660" w:leader="none"/>
          <w:tab w:val="left" w:pos="7020" w:leader="none"/>
        </w:tabs>
        <w:suppressAutoHyphens w:val="true"/>
        <w:spacing w:lineRule="auto" w:line="312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Chodníky na návsi podél silnice č. 33723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15 odst. 1</w:t>
      </w:r>
      <w:r>
        <w:rPr>
          <w:rFonts w:cs="Arial" w:ascii="Arial" w:hAnsi="Arial"/>
        </w:rPr>
        <w:t xml:space="preserve"> zákona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2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2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3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4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</w:rPr>
        <w:t>8</w:t>
      </w:r>
      <w:r>
        <w:rPr/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6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vertAlign w:val="superscript"/>
        </w:rPr>
        <w:t>10</w:t>
      </w:r>
      <w:r>
        <w:rPr>
          <w:rFonts w:cs="Arial" w:ascii="Arial" w:hAnsi="Arial"/>
        </w:rPr>
        <w:t xml:space="preserve"> § 11 odst. 1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</w:rPr>
        <w:t>1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 xml:space="preserve"> 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sz w:val="22"/>
        <w:szCs w:val="22"/>
        <w:rFonts w:ascii="Arial" w:hAnsi="Arial" w:cs="Arial"/>
        <w:lang w:eastAsia="zh-C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Arial" w:hAnsi="Arial" w:cs="Arial"/>
        <w:lang w:eastAsia="zh-C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Arial" w:hAnsi="Arial" w:cs="Arial"/>
        <w:lang w:eastAsia="zh-C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Arial" w:hAnsi="Arial" w:cs="Arial"/>
        <w:lang w:eastAsia="zh-C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Arial" w:hAnsi="Arial" w:cs="Arial"/>
        <w:lang w:eastAsia="zh-C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Arial" w:hAnsi="Arial" w:cs="Arial"/>
        <w:lang w:eastAsia="zh-C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Arial" w:hAnsi="Arial" w:cs="Arial"/>
        <w:lang w:eastAsia="zh-C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Arial" w:hAnsi="Arial" w:cs="Arial"/>
        <w:lang w:eastAsia="zh-CN"/>
      </w:r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sz w:val="22"/>
        <w:szCs w:val="22"/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Arial" w:hAnsi="Arial" w:cs="Arial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Arial" w:hAnsi="Arial" w:cs="Arial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sz w:val="22"/>
        <w:szCs w:val="22"/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Arial" w:hAnsi="Arial" w:cs="Arial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Arial" w:hAnsi="Arial" w:cs="Arial"/>
      </w:r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z1">
    <w:name w:val="WW8Num2z1"/>
    <w:qFormat/>
    <w:rPr/>
  </w:style>
  <w:style w:type="character" w:styleId="WW8Num3z0">
    <w:name w:val="WW8Num3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3z1">
    <w:name w:val="WW8Num3z1"/>
    <w:qFormat/>
    <w:rPr>
      <w:rFonts w:ascii="Arial" w:hAnsi="Arial" w:cs="Arial"/>
      <w:sz w:val="22"/>
      <w:szCs w:val="22"/>
      <w:lang w:eastAsia="zh-CN"/>
    </w:rPr>
  </w:style>
  <w:style w:type="character" w:styleId="WW8Num4z0">
    <w:name w:val="WW8Num4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z1">
    <w:name w:val="WW8Num4z1"/>
    <w:qFormat/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szCs w:val="22"/>
      <w:vertAlign w:val="baseline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6z1">
    <w:name w:val="WW8Num6z1"/>
    <w:qFormat/>
    <w:rPr>
      <w:rFonts w:ascii="Arial" w:hAnsi="Arial" w:cs="Arial"/>
      <w:sz w:val="22"/>
      <w:szCs w:val="22"/>
    </w:rPr>
  </w:style>
  <w:style w:type="character" w:styleId="WW8Num7z0">
    <w:name w:val="WW8Num7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7z1">
    <w:name w:val="WW8Num7z1"/>
    <w:qFormat/>
    <w:rPr/>
  </w:style>
  <w:style w:type="character" w:styleId="WW8Num8z0">
    <w:name w:val="WW8Num8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szCs w:val="22"/>
      <w:vertAlign w:val="baseline"/>
    </w:rPr>
  </w:style>
  <w:style w:type="character" w:styleId="WW8Num8z1">
    <w:name w:val="WW8Num8z1"/>
    <w:qFormat/>
    <w:rPr/>
  </w:style>
  <w:style w:type="character" w:styleId="WW8Num9z0">
    <w:name w:val="WW8Num9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4"/>
      <w:sz w:val="24"/>
      <w:szCs w:val="22"/>
      <w:vertAlign w:val="baseline"/>
    </w:rPr>
  </w:style>
  <w:style w:type="character" w:styleId="WW8Num9z1">
    <w:name w:val="WW8Num9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10z1">
    <w:name w:val="WW8Num10z1"/>
    <w:qFormat/>
    <w:rPr>
      <w:rFonts w:ascii="Arial" w:hAnsi="Arial" w:cs="Arial"/>
      <w:sz w:val="22"/>
      <w:szCs w:val="22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12z1">
    <w:name w:val="WW8Num12z1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4z1">
    <w:name w:val="WW8Num14z1"/>
    <w:qFormat/>
    <w:rPr/>
  </w:style>
  <w:style w:type="character" w:styleId="WW8Num15z0">
    <w:name w:val="WW8Num15z0"/>
    <w:qFormat/>
    <w:rPr>
      <w:b w:val="false"/>
      <w:i w:val="false"/>
      <w:strike w:val="false"/>
      <w:dstrike w:val="false"/>
      <w:outline w:val="false"/>
      <w:shadow w:val="false"/>
      <w:position w:val="0"/>
      <w:sz w:val="24"/>
      <w:sz w:val="24"/>
      <w:u w:val="none"/>
      <w:vertAlign w:val="baseline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6z1">
    <w:name w:val="WW8Num16z1"/>
    <w:qFormat/>
    <w:rPr/>
  </w:style>
  <w:style w:type="character" w:styleId="WW8Num17z0">
    <w:name w:val="WW8Num17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7z1">
    <w:name w:val="WW8Num17z1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bCs w:val="false"/>
      <w:u w:val="none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4z1">
    <w:name w:val="WW8Num24z1"/>
    <w:qFormat/>
    <w:rPr/>
  </w:style>
  <w:style w:type="character" w:styleId="WW8Num25z0">
    <w:name w:val="WW8Num25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5z1">
    <w:name w:val="WW8Num25z1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Standardnpsmoodstavce">
    <w:name w:val="Standardní písmo odstavce"/>
    <w:qFormat/>
    <w:rPr/>
  </w:style>
  <w:style w:type="character" w:styleId="Nadpis2Char">
    <w:name w:val="Nadpis 2 Char"/>
    <w:qFormat/>
    <w:rPr>
      <w:rFonts w:ascii="Cambria" w:hAnsi="Cambria" w:cs="Cambria"/>
      <w:b/>
      <w:bCs/>
      <w:i/>
      <w:iCs/>
      <w:sz w:val="28"/>
      <w:szCs w:val="28"/>
    </w:rPr>
  </w:style>
  <w:style w:type="character" w:styleId="Nadpis6Char">
    <w:name w:val="Nadpis 6 Char"/>
    <w:qFormat/>
    <w:rPr>
      <w:rFonts w:ascii="Calibri" w:hAnsi="Calibri" w:cs="Calibri"/>
      <w:b/>
      <w:bCs/>
      <w:sz w:val="22"/>
      <w:szCs w:val="22"/>
    </w:rPr>
  </w:style>
  <w:style w:type="character" w:styleId="ZkladntextodsazenChar">
    <w:name w:val="Základní text odsazený Char"/>
    <w:qFormat/>
    <w:rPr>
      <w:sz w:val="24"/>
      <w:szCs w:val="24"/>
    </w:rPr>
  </w:style>
  <w:style w:type="character" w:styleId="Zkladntextodsazen2Char">
    <w:name w:val="Základní text odsazený 2 Char"/>
    <w:qFormat/>
    <w:rPr>
      <w:sz w:val="24"/>
      <w:szCs w:val="24"/>
    </w:rPr>
  </w:style>
  <w:style w:type="character" w:styleId="ZhlavChar">
    <w:name w:val="Záhlaví Char"/>
    <w:qFormat/>
    <w:rPr>
      <w:sz w:val="24"/>
      <w:szCs w:val="24"/>
    </w:rPr>
  </w:style>
  <w:style w:type="character" w:styleId="ZkladntextChar">
    <w:name w:val="Základní text Char"/>
    <w:qFormat/>
    <w:rPr>
      <w:sz w:val="24"/>
      <w:szCs w:val="24"/>
    </w:rPr>
  </w:style>
  <w:style w:type="character" w:styleId="TextpoznpodarouChar">
    <w:name w:val="Text pozn. pod čarou Char"/>
    <w:qFormat/>
    <w:rPr>
      <w:sz w:val="20"/>
      <w:szCs w:val="20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>
      <w:sz w:val="20"/>
      <w:szCs w:val="20"/>
    </w:rPr>
  </w:style>
  <w:style w:type="character" w:styleId="Zkladntextodsazen3Char">
    <w:name w:val="Základní text odsazený 3 Char"/>
    <w:qFormat/>
    <w:rPr>
      <w:sz w:val="16"/>
      <w:szCs w:val="16"/>
    </w:rPr>
  </w:style>
  <w:style w:type="character" w:styleId="TextbublinyChar">
    <w:name w:val="Text bubliny Char"/>
    <w:qFormat/>
    <w:rPr>
      <w:sz w:val="2"/>
      <w:szCs w:val="2"/>
    </w:rPr>
  </w:style>
  <w:style w:type="character" w:styleId="Zkladntext3Char">
    <w:name w:val="Základní text 3 Char"/>
    <w:qFormat/>
    <w:rPr>
      <w:sz w:val="16"/>
      <w:szCs w:val="16"/>
    </w:rPr>
  </w:style>
  <w:style w:type="character" w:styleId="Zkladntext2Char">
    <w:name w:val="Základní text 2 Char"/>
    <w:qFormat/>
    <w:rPr>
      <w:sz w:val="24"/>
      <w:szCs w:val="24"/>
    </w:rPr>
  </w:style>
  <w:style w:type="character" w:styleId="NzevChar">
    <w:name w:val="Název Char"/>
    <w:qFormat/>
    <w:rPr>
      <w:rFonts w:ascii="Cambria" w:hAnsi="Cambria" w:cs="Cambria"/>
      <w:b/>
      <w:bCs/>
      <w:kern w:val="2"/>
      <w:sz w:val="32"/>
      <w:szCs w:val="32"/>
    </w:rPr>
  </w:style>
  <w:style w:type="character" w:styleId="Ukotvenpoznmkypodarou">
    <w:name w:val="Ukotvení poznámky pod čarou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Ukotvenvysvtlivky">
    <w:name w:val="Ukotvení vysvětlivky"/>
    <w:rPr>
      <w:vertAlign w:val="superscript"/>
    </w:rPr>
  </w:style>
  <w:style w:type="paragraph" w:styleId="Nadpis">
    <w:name w:val="Nadpis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/>
  </w:style>
  <w:style w:type="paragraph" w:styleId="Zkladntextodsazen2">
    <w:name w:val="Základní text odsazený 2"/>
    <w:basedOn w:val="Normal"/>
    <w:qFormat/>
    <w:pPr>
      <w:ind w:left="708" w:right="0" w:firstLine="360"/>
      <w:jc w:val="both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/>
    <w:rPr/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/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ind w:left="540" w:right="0" w:hanging="540"/>
      <w:jc w:val="both"/>
    </w:pPr>
    <w:rPr/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Zkladntext3">
    <w:name w:val="Základní text 3"/>
    <w:basedOn w:val="Normal"/>
    <w:qFormat/>
    <w:pPr>
      <w:spacing w:before="0" w:after="120"/>
    </w:pPr>
    <w:rPr>
      <w:sz w:val="16"/>
      <w:szCs w:val="16"/>
    </w:rPr>
  </w:style>
  <w:style w:type="paragraph" w:styleId="Zkladntext2">
    <w:name w:val="Základní text 2"/>
    <w:basedOn w:val="Normal"/>
    <w:qFormat/>
    <w:pPr>
      <w:spacing w:lineRule="auto" w:line="480" w:before="0" w:after="120"/>
    </w:pPr>
    <w:rPr/>
  </w:style>
  <w:style w:type="paragraph" w:styleId="Textparagrafu">
    <w:name w:val="Text paragrafu"/>
    <w:basedOn w:val="Normal"/>
    <w:qFormat/>
    <w:pPr>
      <w:autoSpaceDE w:val="false"/>
      <w:spacing w:before="240" w:after="0"/>
      <w:ind w:left="0" w:right="0" w:firstLine="425"/>
      <w:jc w:val="both"/>
    </w:pPr>
    <w:rPr/>
  </w:style>
  <w:style w:type="paragraph" w:styleId="Nzevzkona">
    <w:name w:val="název zákona"/>
    <w:basedOn w:val="Nadpis"/>
    <w:qFormat/>
    <w:pPr/>
    <w:rPr/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LibreOffice/7.2.2.2$Windows_X86_64 LibreOffice_project/02b2acce88a210515b4a5bb2e46cbfb63fe97d56</Application>
  <AppVersion>15.0000</AppVersion>
  <Pages>4</Pages>
  <Words>1007</Words>
  <Characters>6516</Characters>
  <CharactersWithSpaces>7505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2022-11-30T15:36:00Z</dcterms:created>
  <dc:creator>DA210036</dc:creator>
  <dc:description/>
  <dc:language>cs-CZ</dc:language>
  <cp:lastModifiedBy/>
  <cp:lastPrinted>2010-06-16T14:17:00Z</cp:lastPrinted>
  <dcterms:modified xsi:type="dcterms:W3CDTF">2022-12-22T11:59:23Z</dcterms:modified>
  <cp:revision>8</cp:revision>
  <dc:subject/>
  <dc:title>Vzor obecně závazné vyhlášky obce o stanovení systému shromažďování, sběru, přepravy, třídění, využívání a odstraňování komuná</dc:title>
</cp:coreProperties>
</file>