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jpg" ContentType="image/jpg"/>
  <Override PartName="/word/media/image2.jpg" ContentType="image/jpg"/>
  <Override PartName="/word/media/image3.jpg" ContentType="image/jp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spacing w:before="10" w:after="0" w:line="434" w:lineRule="exact"/>
        <w:ind w:right="0" w:left="0" w:firstLine="0"/>
        <w:jc w:val="center"/>
        <w:textAlignment w:val="baseline"/>
        <w:rPr>
          <w:rFonts w:ascii="Garamond" w:hAnsi="Garamond" w:eastAsia="Garamond"/>
          <w:b w:val="true"/>
          <w:color w:val="000000"/>
          <w:spacing w:val="10"/>
          <w:w w:val="85"/>
          <w:sz w:val="39"/>
          <w:vertAlign w:val="baseline"/>
          <w:lang w:val="cs-CZ"/>
        </w:rPr>
      </w:pPr>
      <w:r>
        <w:rPr>
          <w:rFonts w:ascii="Garamond" w:hAnsi="Garamond" w:eastAsia="Garamond"/>
          <w:b w:val="true"/>
          <w:color w:val="000000"/>
          <w:spacing w:val="10"/>
          <w:w w:val="85"/>
          <w:sz w:val="39"/>
          <w:vertAlign w:val="baseline"/>
          <w:lang w:val="cs-CZ"/>
        </w:rPr>
        <w:t xml:space="preserve">Obec Mistřice</w:t>
      </w:r>
    </w:p>
    <w:p>
      <w:pPr>
        <w:spacing w:before="180" w:after="0" w:line="297" w:lineRule="exact"/>
        <w:ind w:right="0" w:left="0" w:firstLine="0"/>
        <w:jc w:val="center"/>
        <w:textAlignment w:val="baseline"/>
        <w:rPr>
          <w:rFonts w:ascii="Garamond" w:hAnsi="Garamond" w:eastAsia="Garamond"/>
          <w:b w:val="true"/>
          <w:color w:val="000000"/>
          <w:spacing w:val="9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b w:val="true"/>
          <w:color w:val="000000"/>
          <w:spacing w:val="9"/>
          <w:w w:val="100"/>
          <w:sz w:val="25"/>
          <w:vertAlign w:val="baseline"/>
          <w:lang w:val="cs-CZ"/>
        </w:rPr>
        <w:t xml:space="preserve">Nařízení obce č. 1/2023</w:t>
      </w:r>
    </w:p>
    <w:p>
      <w:pPr>
        <w:spacing w:before="201" w:after="0" w:line="310" w:lineRule="exact"/>
        <w:ind w:right="0" w:left="0" w:firstLine="0"/>
        <w:jc w:val="center"/>
        <w:textAlignment w:val="baseline"/>
        <w:rPr>
          <w:rFonts w:ascii="Garamond" w:hAnsi="Garamond" w:eastAsia="Garamond"/>
          <w:b w:val="true"/>
          <w:color w:val="000000"/>
          <w:spacing w:val="13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b w:val="true"/>
          <w:color w:val="000000"/>
          <w:spacing w:val="13"/>
          <w:w w:val="100"/>
          <w:sz w:val="25"/>
          <w:vertAlign w:val="baseline"/>
          <w:lang w:val="cs-CZ"/>
        </w:rPr>
        <w:t xml:space="preserve">o zákazu podomního a pochůzkového prodeje na území obce</w:t>
      </w:r>
    </w:p>
    <w:p>
      <w:pPr>
        <w:spacing w:before="441" w:after="0" w:line="272" w:lineRule="exact"/>
        <w:ind w:right="0" w:left="0" w:firstLine="0"/>
        <w:jc w:val="both"/>
        <w:textAlignment w:val="baseline"/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Rada obce Mistřice se na svém zasedání dne 1. 11. 2023 usnesením č. 13 se usnesla vydat na základě ustanovení § 18 odst. 3 zákona č. 455/1991 Sb., o živnostenském podnikání (živnostenský zákon), ve znění pozdějších předpisů, a v souladu s ustanovením § 11 odst. </w:t>
      </w:r>
      <w:r>
        <w:rPr>
          <w:rFonts w:ascii="Garamond" w:hAnsi="Garamond" w:eastAsia="Garamond"/>
          <w:b w:val="true"/>
          <w:color w:val="000000"/>
          <w:spacing w:val="0"/>
          <w:w w:val="100"/>
          <w:sz w:val="25"/>
          <w:vertAlign w:val="baseline"/>
          <w:lang w:val="cs-CZ"/>
        </w:rPr>
        <w:t xml:space="preserve">1 </w:t>
      </w: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a § 102 odst. 2 písm. d) zákona č. 128/2000 Sb., o obcích (obecní zřízení), ve znění pozdějších předpisů, toto nařízení:</w:t>
      </w:r>
    </w:p>
    <w:p>
      <w:pPr>
        <w:spacing w:before="743" w:after="0" w:line="274" w:lineRule="exact"/>
        <w:ind w:right="0" w:left="0" w:firstLine="0"/>
        <w:jc w:val="center"/>
        <w:textAlignment w:val="baseline"/>
        <w:rPr>
          <w:rFonts w:ascii="Garamond" w:hAnsi="Garamond" w:eastAsia="Garamond"/>
          <w:b w:val="true"/>
          <w:color w:val="000000"/>
          <w:spacing w:val="-2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b w:val="true"/>
          <w:color w:val="000000"/>
          <w:spacing w:val="-2"/>
          <w:w w:val="100"/>
          <w:sz w:val="25"/>
          <w:vertAlign w:val="baseline"/>
          <w:lang w:val="cs-CZ"/>
        </w:rPr>
        <w:t xml:space="preserve">Čl. 1</w:t>
      </w:r>
    </w:p>
    <w:p>
      <w:pPr>
        <w:spacing w:before="0" w:after="0" w:line="272" w:lineRule="exact"/>
        <w:ind w:right="0" w:left="0" w:firstLine="0"/>
        <w:jc w:val="center"/>
        <w:textAlignment w:val="baseline"/>
        <w:rPr>
          <w:rFonts w:ascii="Garamond" w:hAnsi="Garamond" w:eastAsia="Garamond"/>
          <w:b w:val="true"/>
          <w:color w:val="000000"/>
          <w:spacing w:val="-5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b w:val="true"/>
          <w:color w:val="000000"/>
          <w:spacing w:val="-5"/>
          <w:w w:val="100"/>
          <w:sz w:val="25"/>
          <w:vertAlign w:val="baseline"/>
          <w:lang w:val="cs-CZ"/>
        </w:rPr>
        <w:t xml:space="preserve">Úvodní ustanovení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176" w:after="0" w:line="272" w:lineRule="exact"/>
        <w:ind w:right="0" w:left="720" w:hanging="360"/>
        <w:jc w:val="both"/>
        <w:textAlignment w:val="baseline"/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Předmětem tohoto nařízení obce (dále jen „nařízení") je stanovit, které druhy prodeje zboží nebo poskytování služeb prováděné mimo provozovnu určenou k tomuto účelu kolaudačním rozhodnutím podle zvláštního zákona° na území obce Mistřice jsou zakázány.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185" w:after="0" w:line="272" w:lineRule="exact"/>
        <w:ind w:right="72" w:left="720" w:hanging="36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Účelem tohoto nařízení je nenarušování ochrany obydlí, zajištění veřejného pořádku a zvýšení bezpečnosti obyvatel obce Mistřice.</w:t>
      </w:r>
    </w:p>
    <w:p>
      <w:pPr>
        <w:spacing w:before="135" w:after="0" w:line="346" w:lineRule="exact"/>
        <w:ind w:right="0" w:left="0" w:firstLine="0"/>
        <w:jc w:val="center"/>
        <w:textAlignment w:val="baseline"/>
        <w:rPr>
          <w:rFonts w:ascii="Garamond" w:hAnsi="Garamond" w:eastAsia="Garamond"/>
          <w:color w:val="000000"/>
          <w:spacing w:val="-1"/>
          <w:w w:val="85"/>
          <w:sz w:val="28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-1"/>
          <w:w w:val="85"/>
          <w:sz w:val="28"/>
          <w:vertAlign w:val="baseline"/>
          <w:lang w:val="cs-CZ"/>
        </w:rPr>
        <w:t xml:space="preserve">ČI. </w:t>
      </w:r>
      <w:r>
        <w:rPr>
          <w:rFonts w:ascii="Garamond" w:hAnsi="Garamond" w:eastAsia="Garamond"/>
          <w:b w:val="true"/>
          <w:color w:val="000000"/>
          <w:spacing w:val="-1"/>
          <w:w w:val="100"/>
          <w:sz w:val="25"/>
          <w:vertAlign w:val="baseline"/>
          <w:lang w:val="cs-CZ"/>
        </w:rPr>
        <w:t xml:space="preserve">2</w:t>
      </w:r>
    </w:p>
    <w:p>
      <w:pPr>
        <w:spacing w:before="0" w:after="0" w:line="258" w:lineRule="exact"/>
        <w:ind w:right="0" w:left="0" w:firstLine="0"/>
        <w:jc w:val="center"/>
        <w:textAlignment w:val="baseline"/>
        <w:rPr>
          <w:rFonts w:ascii="Garamond" w:hAnsi="Garamond" w:eastAsia="Garamond"/>
          <w:b w:val="true"/>
          <w:color w:val="000000"/>
          <w:spacing w:val="-5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b w:val="true"/>
          <w:color w:val="000000"/>
          <w:spacing w:val="-5"/>
          <w:w w:val="100"/>
          <w:sz w:val="25"/>
          <w:vertAlign w:val="baseline"/>
          <w:lang w:val="cs-CZ"/>
        </w:rPr>
        <w:t xml:space="preserve">Vymezení pojmů</w:t>
      </w:r>
    </w:p>
    <w:p>
      <w:pPr>
        <w:spacing w:before="112" w:after="0" w:line="272" w:lineRule="exact"/>
        <w:ind w:right="0" w:left="0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Pro účely tohoto nařízení se vymezují pojmy:</w:t>
      </w:r>
    </w:p>
    <w:p>
      <w:pPr>
        <w:numPr>
          <w:ilvl w:val="0"/>
          <w:numId w:val="2"/>
        </w:numPr>
        <w:tabs>
          <w:tab w:val="clear" w:pos="360"/>
          <w:tab w:val="left" w:pos="720"/>
        </w:tabs>
        <w:spacing w:before="5" w:after="0" w:line="272" w:lineRule="exact"/>
        <w:ind w:right="0" w:left="720" w:hanging="360"/>
        <w:jc w:val="both"/>
        <w:textAlignment w:val="baseline"/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Podomním prodejem se rozumí prodej zboží či poskytování služeb nebo nabízení prodeje zboží či poskytování služeb provozovaný bez pevného stanoviště obchůzkou jednotlivých bytů, domů, budov apod. bez předchozí objednávky.</w:t>
      </w:r>
    </w:p>
    <w:p>
      <w:pPr>
        <w:numPr>
          <w:ilvl w:val="0"/>
          <w:numId w:val="2"/>
        </w:numPr>
        <w:tabs>
          <w:tab w:val="clear" w:pos="360"/>
          <w:tab w:val="left" w:pos="720"/>
        </w:tabs>
        <w:spacing w:before="181" w:after="0" w:line="272" w:lineRule="exact"/>
        <w:ind w:right="0" w:left="720" w:hanging="360"/>
        <w:jc w:val="both"/>
        <w:textAlignment w:val="baseline"/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Pochůzkovým prodejem se rozumí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 ruky, přičemž není rozhodující, zda ten, kdo zboží nebo služby prodává či nabízí, se přemíst'uje nebo postává na místě.</w:t>
      </w:r>
    </w:p>
    <w:p>
      <w:pPr>
        <w:spacing w:before="177" w:after="0" w:line="274" w:lineRule="exact"/>
        <w:ind w:right="0" w:left="0" w:firstLine="0"/>
        <w:jc w:val="center"/>
        <w:textAlignment w:val="baseline"/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Č1.</w:t>
      </w:r>
      <w:r>
        <w:rPr>
          <w:rFonts w:ascii="Garamond" w:hAnsi="Garamond" w:eastAsia="Garamond"/>
          <w:b w:val="true"/>
          <w:color w:val="000000"/>
          <w:spacing w:val="0"/>
          <w:w w:val="100"/>
          <w:sz w:val="25"/>
          <w:vertAlign w:val="baseline"/>
          <w:lang w:val="cs-CZ"/>
        </w:rPr>
        <w:t xml:space="preserve">3</w:t>
      </w:r>
    </w:p>
    <w:p>
      <w:pPr>
        <w:spacing w:before="5" w:after="0" w:line="274" w:lineRule="exact"/>
        <w:ind w:right="0" w:left="0" w:firstLine="0"/>
        <w:jc w:val="center"/>
        <w:textAlignment w:val="baseline"/>
        <w:rPr>
          <w:rFonts w:ascii="Garamond" w:hAnsi="Garamond" w:eastAsia="Garamond"/>
          <w:b w:val="true"/>
          <w:color w:val="000000"/>
          <w:spacing w:val="-2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b w:val="true"/>
          <w:color w:val="000000"/>
          <w:spacing w:val="-2"/>
          <w:w w:val="100"/>
          <w:sz w:val="25"/>
          <w:vertAlign w:val="baseline"/>
          <w:lang w:val="cs-CZ"/>
        </w:rPr>
        <w:t xml:space="preserve">Zakázané druhy prodeje zboží a poskytování služeb</w:t>
      </w:r>
    </w:p>
    <w:p>
      <w:pPr>
        <w:spacing w:before="184" w:after="0" w:line="272" w:lineRule="exact"/>
        <w:ind w:right="0" w:left="0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Na území obce Mistřice se podomní prodej a pochůzkový prodej zakazují.</w:t>
      </w:r>
    </w:p>
    <w:p>
      <w:pPr>
        <w:spacing w:before="180" w:after="0" w:line="274" w:lineRule="exact"/>
        <w:ind w:right="0" w:left="0" w:firstLine="0"/>
        <w:jc w:val="center"/>
        <w:textAlignment w:val="baseline"/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Č1.</w:t>
      </w:r>
      <w:r>
        <w:rPr>
          <w:rFonts w:ascii="Garamond" w:hAnsi="Garamond" w:eastAsia="Garamond"/>
          <w:b w:val="true"/>
          <w:color w:val="000000"/>
          <w:spacing w:val="0"/>
          <w:w w:val="100"/>
          <w:sz w:val="25"/>
          <w:vertAlign w:val="baseline"/>
          <w:lang w:val="cs-CZ"/>
        </w:rPr>
        <w:t xml:space="preserve">4</w:t>
      </w:r>
    </w:p>
    <w:p>
      <w:pPr>
        <w:spacing w:before="6" w:after="0" w:line="274" w:lineRule="exact"/>
        <w:ind w:right="0" w:left="0" w:firstLine="0"/>
        <w:jc w:val="center"/>
        <w:textAlignment w:val="baseline"/>
        <w:rPr>
          <w:rFonts w:ascii="Garamond" w:hAnsi="Garamond" w:eastAsia="Garamond"/>
          <w:b w:val="true"/>
          <w:color w:val="000000"/>
          <w:spacing w:val="-2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b w:val="true"/>
          <w:color w:val="000000"/>
          <w:spacing w:val="-2"/>
          <w:w w:val="100"/>
          <w:sz w:val="25"/>
          <w:vertAlign w:val="baseline"/>
          <w:lang w:val="cs-CZ"/>
        </w:rPr>
        <w:t xml:space="preserve">Prodej zboží a poskytování služeb, na které se toto nařízení nevztahuje</w:t>
      </w:r>
    </w:p>
    <w:p>
      <w:pPr>
        <w:spacing w:before="98" w:after="0" w:line="272" w:lineRule="exact"/>
        <w:ind w:right="0" w:left="0" w:firstLine="0"/>
        <w:jc w:val="left"/>
        <w:textAlignment w:val="baseline"/>
        <w:rPr>
          <w:rFonts w:ascii="Garamond" w:hAnsi="Garamond" w:eastAsia="Garamond"/>
          <w:color w:val="000000"/>
          <w:spacing w:val="-1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-1"/>
          <w:w w:val="100"/>
          <w:sz w:val="25"/>
          <w:vertAlign w:val="baseline"/>
          <w:lang w:val="cs-CZ"/>
        </w:rPr>
        <w:t xml:space="preserve">Toto nařízení se nevztahuje na:</w:t>
      </w:r>
    </w:p>
    <w:p>
      <w:pPr>
        <w:numPr>
          <w:ilvl w:val="0"/>
          <w:numId w:val="3"/>
        </w:numPr>
        <w:tabs>
          <w:tab w:val="clear" w:pos="432"/>
          <w:tab w:val="left" w:pos="1008"/>
        </w:tabs>
        <w:spacing w:before="1" w:after="0" w:line="272" w:lineRule="exact"/>
        <w:ind w:right="0" w:left="1008" w:hanging="432"/>
        <w:jc w:val="left"/>
        <w:textAlignment w:val="baseline"/>
        <w:rPr>
          <w:rFonts w:ascii="Garamond" w:hAnsi="Garamond" w:eastAsia="Garamond"/>
          <w:color w:val="000000"/>
          <w:spacing w:val="-1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-1"/>
          <w:w w:val="100"/>
          <w:sz w:val="25"/>
          <w:vertAlign w:val="baseline"/>
          <w:lang w:val="cs-CZ"/>
        </w:rPr>
        <w:t xml:space="preserve">prodej tisku prostřednictvím kamelotů,</w:t>
      </w:r>
    </w:p>
    <w:p>
      <w:pPr>
        <w:numPr>
          <w:ilvl w:val="0"/>
          <w:numId w:val="3"/>
        </w:numPr>
        <w:tabs>
          <w:tab w:val="clear" w:pos="432"/>
          <w:tab w:val="left" w:pos="1008"/>
        </w:tabs>
        <w:spacing w:before="0" w:after="0" w:line="269" w:lineRule="exact"/>
        <w:ind w:right="0" w:left="1008" w:hanging="432"/>
        <w:jc w:val="left"/>
        <w:textAlignment w:val="baseline"/>
        <w:rPr>
          <w:rFonts w:ascii="Garamond" w:hAnsi="Garamond" w:eastAsia="Garamond"/>
          <w:color w:val="000000"/>
          <w:spacing w:val="-1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-1"/>
          <w:w w:val="100"/>
          <w:sz w:val="25"/>
          <w:vertAlign w:val="baseline"/>
          <w:lang w:val="cs-CZ"/>
        </w:rPr>
        <w:t xml:space="preserve">očkování domácích zvířat,</w:t>
      </w:r>
    </w:p>
    <w:p>
      <w:pPr>
        <w:numPr>
          <w:ilvl w:val="0"/>
          <w:numId w:val="3"/>
        </w:numPr>
        <w:tabs>
          <w:tab w:val="clear" w:pos="432"/>
          <w:tab w:val="left" w:pos="1008"/>
        </w:tabs>
        <w:spacing w:before="0" w:after="124" w:line="269" w:lineRule="exact"/>
        <w:ind w:right="0" w:left="1008" w:hanging="432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</w:pPr>
      <w:r>
        <w:rPr>
          <w:rFonts w:ascii="Garamond" w:hAnsi="Garamond" w:eastAsia="Garamond"/>
          <w:color w:val="000000"/>
          <w:spacing w:val="0"/>
          <w:w w:val="100"/>
          <w:sz w:val="25"/>
          <w:vertAlign w:val="baseline"/>
          <w:lang w:val="cs-CZ"/>
        </w:rPr>
        <w:t xml:space="preserve">akce organizované podle zákona č. 117/2001 Sb., o veřejných sbírkách a o změně některých zákonů, ve znění pozdějších předpisů,</w:t>
      </w:r>
    </w:p>
    <w:p>
      <w:pPr>
        <w:spacing w:before="94" w:after="0" w:line="221" w:lineRule="exact"/>
        <w:ind w:right="0" w:left="0" w:firstLine="0"/>
        <w:jc w:val="left"/>
        <w:textAlignment w:val="baseline"/>
        <w:rPr>
          <w:rFonts w:ascii="Garamond" w:hAnsi="Garamond" w:eastAsia="Garamond"/>
          <w:color w:val="000000"/>
          <w:spacing w:val="1"/>
          <w:w w:val="100"/>
          <w:sz w:val="12"/>
          <w:vertAlign w:val="superscript"/>
          <w:lang w:val="cs-CZ"/>
        </w:rPr>
      </w:pPr>
      <w:r>
        <w:pict>
          <v:line strokeweight="0.7pt" strokecolor="#363638" from="62.25pt,739.45pt" to="207.65pt,739.45pt" style="position:absolute;mso-position-horizontal-relative:page;mso-position-vertical-relative:page;">
            <v:stroke dashstyle="solid"/>
          </v:line>
        </w:pict>
      </w:r>
      <w:r>
        <w:rPr>
          <w:rFonts w:ascii="Garamond" w:hAnsi="Garamond" w:eastAsia="Garamond"/>
          <w:color w:val="000000"/>
          <w:spacing w:val="1"/>
          <w:w w:val="100"/>
          <w:sz w:val="12"/>
          <w:vertAlign w:val="superscript"/>
          <w:lang w:val="cs-CZ"/>
        </w:rPr>
        <w:t xml:space="preserve">1)</w:t>
      </w:r>
      <w:r>
        <w:rPr>
          <w:rFonts w:ascii="Garamond" w:hAnsi="Garamond" w:eastAsia="Garamond"/>
          <w:color w:val="000000"/>
          <w:spacing w:val="1"/>
          <w:w w:val="100"/>
          <w:sz w:val="20"/>
          <w:vertAlign w:val="baseline"/>
          <w:lang w:val="cs-CZ"/>
        </w:rPr>
        <w:t xml:space="preserve"> Zákon č. 183/2006 Sb., o územním plánování a stavebním řádu (stavební zákon), ve znění pozdějších předpisů.</w:t>
      </w:r>
    </w:p>
    <w:p>
      <w:pPr>
        <w:sectPr>
          <w:type w:val="nextPage"/>
          <w:pgSz w:w="11563" w:h="16498" w:orient="portrait"/>
          <w:pgMar w:bottom="922" w:top="1280" w:right="1224" w:left="1245" w:header="720" w:footer="720"/>
          <w:titlePg w:val="false"/>
          <w:textDirection w:val="lrTb"/>
        </w:sectPr>
      </w:pPr>
    </w:p>
    <w:p>
      <w:pPr>
        <w:numPr>
          <w:ilvl w:val="0"/>
          <w:numId w:val="4"/>
        </w:numPr>
        <w:tabs>
          <w:tab w:val="clear" w:pos="360"/>
          <w:tab w:val="left" w:pos="936"/>
        </w:tabs>
        <w:spacing w:before="6" w:after="0" w:line="269" w:lineRule="exact"/>
        <w:ind w:right="0" w:left="936" w:hanging="36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453pt;height:113.45pt;z-index:-1;margin-left:66pt;margin-top:266.15pt;mso-wrap-distance-left:0pt;mso-wrap-distance-right:0pt;mso-position-horizontal-relative:page;mso-position-vertical-relative:page">
            <w10:wrap type="square"/>
            <v:fill opacity="1" o:opacity2="1" recolor="f" rotate="f" type="solid"/>
            <v:textbox inset="0pt, 0pt, 0pt, 0pt">
              <w:txbxContent/>
            </v:textbox>
          </v:shape>
        </w:pict>
      </w:r>
      <w:r>
        <w:drawing>
          <wp:anchor distT="0" distB="0" distL="0" distR="0" simplePos="false" relativeHeight="251658240" behindDoc="true" locked="false" layoutInCell="true" allowOverlap="true">
            <wp:simplePos x="0" y="0"/>
            <wp:positionH relativeFrom="page">
              <wp:posOffset>1728470</wp:posOffset>
            </wp:positionH>
            <wp:positionV relativeFrom="page">
              <wp:posOffset>3535680</wp:posOffset>
            </wp:positionV>
            <wp:extent cx="1143000" cy="560705"/>
            <wp:wrapThrough wrapText="bothSides">
              <wp:wrapPolygon>
                <wp:start x="0" y="0"/>
                <wp:lineTo x="0" y="21595"/>
                <wp:lineTo x="5928" y="21595"/>
                <wp:lineTo x="5928" y="17144"/>
                <wp:lineTo x="21600" y="17144"/>
                <wp:lineTo x="21600" y="0"/>
                <wp:lineTo x="0" y="0"/>
              </wp:wrapPolygon>
            </wp:wrapThrough>
            <wp:docPr name="IrregularPicture" id="1"/>
            <a:graphic>
              <a:graphicData uri="http://schemas.openxmlformats.org/drawingml/2006/picture">
                <pic:pic>
                  <pic:nvPicPr>
                    <pic:cNvPr id="1" name="Picture"/>
                    <pic:cNvPicPr preferRelativeResize="false"/>
                  </pic:nvPicPr>
                  <pic:blipFill>
                    <a:blip r:embed="prId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60705"/>
                    </a:xfrm>
                    <a:prstGeom prst="rect"/>
                  </pic:spPr>
                </pic:pic>
              </a:graphicData>
            </a:graphic>
          </wp:anchor>
        </w:drawing>
      </w:r>
      <w:r>
        <w:pict>
          <v:shapetype id="_x0000_t3" coordsize="21600,21600" o:spt="202" path="m,l,21600r21600,l21600,xe">
            <v:stroke joinstyle="miter"/>
            <v:path gradientshapeok="t" o:connecttype="rect"/>
          </v:shapetype>
          <v:shape id="_x0000_s2" type="#_x0000_t3" filled="f" stroked="f" style="position:absolute;width:292.9pt;height:47.3pt;z-index:-1;margin-left:226.1pt;margin-top:266.1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0" w:line="240" w:lineRule="auto"/>
                    <w:ind w:right="1418" w:left="2961"/>
                    <w:jc w:val="left"/>
                    <w:textAlignment w:val="baseline"/>
                  </w:pPr>
                  <w:r>
                    <w:drawing>
                      <wp:inline>
                        <wp:extent cx="939165" cy="588645"/>
                        <wp:docPr name="Picture" id="2"/>
                        <a:graphic>
                          <a:graphicData uri="http://schemas.openxmlformats.org/drawingml/2006/picture">
                            <pic:pic>
                              <pic:nvPicPr>
                                <pic:cNvPr id="2" name="Picture"/>
                                <pic:cNvPicPr preferRelativeResize="false"/>
                              </pic:nvPicPr>
                              <pic:blipFill>
                                <a:blip r:embed="prId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9165" cy="588645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type id="_x0000_t4" coordsize="21600,21600" o:spt="202" path="m,l,21600r21600,l21600,xe">
            <v:stroke joinstyle="miter"/>
            <v:path gradientshapeok="t" o:connecttype="rect"/>
          </v:shapetype>
          <v:shape id="_x0000_s3" type="#_x0000_t4" filled="f" stroked="f" style="position:absolute;width:358.2pt;height:65.25pt;z-index:-1;margin-left:160.8pt;margin-top:313.4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tabs>
                      <w:tab w:val="left" w:leader="none" w:pos="4392"/>
                    </w:tabs>
                    <w:spacing w:before="0" w:after="0" w:line="238" w:lineRule="exact"/>
                    <w:ind w:right="0" w:left="72" w:firstLine="0"/>
                    <w:jc w:val="left"/>
                    <w:textAlignment w:val="baseline"/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3"/>
                      <w:vertAlign w:val="baseline"/>
                      <w:lang w:val="cs-CZ"/>
                    </w:rPr>
                  </w:pPr>
                  <w:r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3"/>
                      <w:vertAlign w:val="baseline"/>
                      <w:lang w:val="cs-CZ"/>
                    </w:rPr>
                    <w:t xml:space="preserve">Petr Blažek	</w:t>
                  </w:r>
                  <w:r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3"/>
                      <w:vertAlign w:val="baseline"/>
                      <w:lang w:val="cs-CZ"/>
                    </w:rPr>
                    <w:t xml:space="preserve">Vlastimil Jánoš</w:t>
                  </w:r>
                </w:p>
                <w:p>
                  <w:pPr>
                    <w:tabs>
                      <w:tab w:val="left" w:leader="none" w:pos="4536"/>
                    </w:tabs>
                    <w:spacing w:before="5" w:after="774" w:line="274" w:lineRule="exact"/>
                    <w:ind w:right="0" w:left="0" w:firstLine="0"/>
                    <w:jc w:val="left"/>
                    <w:textAlignment w:val="baseline"/>
                    <w:rPr>
                      <w:rFonts w:ascii="Times New Roman" w:hAnsi="Times New Roman" w:eastAsia="Times New Roman"/>
                      <w:b w:val="true"/>
                      <w:color w:val="000000"/>
                      <w:spacing w:val="0"/>
                      <w:w w:val="100"/>
                      <w:sz w:val="23"/>
                      <w:vertAlign w:val="baseline"/>
                      <w:lang w:val="cs-CZ"/>
                    </w:rPr>
                  </w:pPr>
                  <w:r>
                    <w:rPr>
                      <w:rFonts w:ascii="Times New Roman" w:hAnsi="Times New Roman" w:eastAsia="Times New Roman"/>
                      <w:b w:val="true"/>
                      <w:color w:val="000000"/>
                      <w:spacing w:val="0"/>
                      <w:w w:val="100"/>
                      <w:sz w:val="23"/>
                      <w:vertAlign w:val="baseline"/>
                      <w:lang w:val="cs-CZ"/>
                    </w:rPr>
                    <w:t xml:space="preserve">1.místostarosta	</w:t>
                  </w:r>
                  <w:r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3"/>
                      <w:vertAlign w:val="baseline"/>
                      <w:lang w:val="cs-CZ"/>
                    </w:rPr>
                    <w:t xml:space="preserve">starosta</w:t>
                  </w:r>
                </w:p>
              </w:txbxContent>
            </v:textbox>
          </v:shape>
        </w:pict>
      </w:r>
      <w:r>
        <w:pict>
          <v:line strokeweight="1.45pt" strokecolor="#000000" from="110.4pt,307.45pt" to="136.15pt,307.45pt" style="position:absolute;mso-position-horizontal-relative:page;mso-position-vertical-relative:page;">
            <v:stroke dashstyle="shortdot"/>
          </v:line>
        </w:pict>
      </w:r>
      <w:r>
        <w:pict>
          <v:line strokeweight="1.45pt" strokecolor="#000000" from="448.1pt,307.9pt" to="487pt,307.9pt" style="position:absolute;mso-position-horizontal-relative:page;mso-position-vertical-relative:page;">
            <v:stroke dashstyle="shortdot"/>
          </v:line>
        </w:pict>
      </w:r>
      <w:r>
        <w:pict>
          <v:line strokeweight="1.45pt" strokecolor="#000000" from="226.1pt,307.45pt" to="274.35pt,307.45pt" style="position:absolute;mso-position-horizontal-relative:page;mso-position-vertical-relative:page;">
            <v:stroke dashstyle="shortdot"/>
          </v:line>
        </w:pict>
      </w:r>
      <w:r>
        <w:pict>
          <v:line strokeweight="1.7pt" strokecolor="#000000" from="323.3pt,307.7pt" to="374.2pt,307.7pt" style="position:absolute;mso-position-horizontal-relative:page;mso-position-vertical-relative:page;">
            <v:stroke dashstyle="shortdot"/>
          </v:line>
        </w:pict>
      </w: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  <w:t xml:space="preserve">nabízení služeb podle nařízení vlády č. 91/2010 Sb., o podmínkách požární bezpečnosti při provozu komínů, kouřovodů a spotřebičů paliv za základě žádosti schválené Obecním úřadem,</w:t>
      </w:r>
    </w:p>
    <w:p>
      <w:pPr>
        <w:numPr>
          <w:ilvl w:val="0"/>
          <w:numId w:val="4"/>
        </w:numPr>
        <w:tabs>
          <w:tab w:val="clear" w:pos="360"/>
          <w:tab w:val="left" w:pos="936"/>
          <w:tab w:val="left" w:leader="none" w:pos="1008"/>
        </w:tabs>
        <w:spacing w:before="19" w:after="0" w:line="272" w:lineRule="exact"/>
        <w:ind w:right="0" w:left="936" w:hanging="36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  <w:t xml:space="preserve">stánkový prodej povolený za základě žádosti schválené Obecním úřadem Mistřice</w:t>
      </w:r>
    </w:p>
    <w:p>
      <w:pPr>
        <w:spacing w:before="178" w:after="0" w:line="285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cs-CZ"/>
        </w:rPr>
        <w:t xml:space="preserve">Č1.5</w:t>
      </w:r>
    </w:p>
    <w:p>
      <w:pPr>
        <w:spacing w:before="0" w:after="0" w:line="273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cs-CZ"/>
        </w:rPr>
        <w:t xml:space="preserve">Závěrečná ustanovení</w:t>
      </w:r>
    </w:p>
    <w:p>
      <w:pPr>
        <w:numPr>
          <w:ilvl w:val="0"/>
          <w:numId w:val="5"/>
        </w:numPr>
        <w:tabs>
          <w:tab w:val="clear" w:pos="360"/>
          <w:tab w:val="left" w:pos="720"/>
        </w:tabs>
        <w:spacing w:before="191" w:after="0" w:line="262" w:lineRule="exact"/>
        <w:ind w:right="0" w:left="720" w:hanging="36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  <w:t xml:space="preserve">Porušení povinností stanovených tímto nařízením se postihuje podle zvláštních právních předpisů</w:t>
      </w: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superscript"/>
          <w:lang w:val="cs-CZ"/>
        </w:rPr>
        <w:t xml:space="preserve">2)</w:t>
      </w: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  <w:t xml:space="preserve">.</w:t>
      </w:r>
    </w:p>
    <w:p>
      <w:pPr>
        <w:numPr>
          <w:ilvl w:val="0"/>
          <w:numId w:val="5"/>
        </w:numPr>
        <w:tabs>
          <w:tab w:val="clear" w:pos="360"/>
          <w:tab w:val="left" w:pos="720"/>
        </w:tabs>
        <w:spacing w:before="192" w:after="994" w:line="272" w:lineRule="exact"/>
        <w:ind w:right="0" w:left="720" w:hanging="360"/>
        <w:jc w:val="both"/>
        <w:textAlignment w:val="baseline"/>
        <w:rPr>
          <w:rFonts w:ascii="Times New Roman" w:hAnsi="Times New Roman" w:eastAsia="Times New Roman"/>
          <w:color w:val="000000"/>
          <w:spacing w:val="3"/>
          <w:w w:val="100"/>
          <w:sz w:val="23"/>
          <w:vertAlign w:val="baseline"/>
          <w:lang w:val="cs-CZ"/>
        </w:rPr>
      </w:pPr>
      <w:r>
        <w:rPr>
          <w:rFonts w:ascii="Times New Roman" w:hAnsi="Times New Roman" w:eastAsia="Times New Roman"/>
          <w:color w:val="000000"/>
          <w:spacing w:val="3"/>
          <w:w w:val="100"/>
          <w:sz w:val="23"/>
          <w:vertAlign w:val="baseline"/>
          <w:lang w:val="cs-CZ"/>
        </w:rPr>
        <w:t xml:space="preserve">Toto nařízení nabývá účinnosti dnem 1. 1. 2024.</w:t>
      </w:r>
    </w:p>
    <w:p>
      <w:pPr>
        <w:spacing w:before="0" w:after="132" w:line="240" w:lineRule="auto"/>
        <w:ind w:right="5878" w:left="2294"/>
        <w:jc w:val="left"/>
        <w:textAlignment w:val="baseline"/>
      </w:pPr>
      <w:r>
        <w:drawing>
          <wp:inline>
            <wp:extent cx="563880" cy="393700"/>
            <wp:docPr name="Picture" id="3"/>
            <a:graphic>
              <a:graphicData uri="http://schemas.openxmlformats.org/drawingml/2006/picture">
                <pic:pic>
                  <pic:nvPicPr>
                    <pic:cNvPr id="3" name="Picture"/>
                    <pic:cNvPicPr preferRelativeResize="false"/>
                  </pic:nvPicPr>
                  <pic:blipFill>
                    <a:blip r:embed="prId3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393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99" w:after="0" w:line="269" w:lineRule="exact"/>
        <w:ind w:right="0" w:left="1800" w:hanging="72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</w:pPr>
      <w:r>
        <w:pict>
          <v:line strokeweight="1.45pt" strokecolor="#000000" from="110.65pt,417.1pt" to="274.6pt,417.1pt" style="position:absolute;mso-position-horizontal-relative:page;mso-position-vertical-relative:page;">
            <v:stroke dashstyle="shortdot"/>
          </v:line>
        </w:pict>
      </w: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  <w:t xml:space="preserve">Ivana Špičáková</w:t>
        <w:br/>
      </w: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  <w:t xml:space="preserve">2.místostarosta</w:t>
      </w:r>
    </w:p>
    <w:p>
      <w:pPr>
        <w:spacing w:before="828" w:after="0" w:line="547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  <w:t xml:space="preserve">Vyvěšeno na úřední desce dne: 10. 11. 2023</w:t>
        <w:br/>
      </w: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  <w:t xml:space="preserve">Sejmuto z úřední desky dne: 27. 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cs-CZ"/>
        </w:rPr>
        <w:t xml:space="preserve">11. </w:t>
      </w: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cs-CZ"/>
        </w:rPr>
        <w:t xml:space="preserve">2023</w:t>
      </w:r>
    </w:p>
    <w:p>
      <w:pPr>
        <w:spacing w:before="268" w:after="3147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3"/>
          <w:w w:val="100"/>
          <w:sz w:val="23"/>
          <w:vertAlign w:val="baseline"/>
          <w:lang w:val="cs-CZ"/>
        </w:rPr>
      </w:pPr>
      <w:r>
        <w:rPr>
          <w:rFonts w:ascii="Times New Roman" w:hAnsi="Times New Roman" w:eastAsia="Times New Roman"/>
          <w:color w:val="000000"/>
          <w:spacing w:val="3"/>
          <w:w w:val="100"/>
          <w:sz w:val="23"/>
          <w:vertAlign w:val="baseline"/>
          <w:lang w:val="cs-CZ"/>
        </w:rPr>
        <w:t xml:space="preserve">Současně zveřejněno na elektronické úřední desce.</w:t>
      </w:r>
    </w:p>
    <w:p>
      <w:pPr>
        <w:spacing w:before="268" w:after="3147" w:line="272" w:lineRule="exact"/>
        <w:sectPr>
          <w:type w:val="nextPage"/>
          <w:pgSz w:w="11563" w:h="16498" w:orient="portrait"/>
          <w:pgMar w:bottom="962" w:top="1300" w:right="1183" w:left="1320" w:header="720" w:footer="720"/>
          <w:titlePg w:val="false"/>
          <w:textDirection w:val="lrTb"/>
        </w:sectPr>
      </w:pPr>
    </w:p>
    <w:p>
      <w:pPr>
        <w:spacing w:before="79" w:after="0" w:line="231" w:lineRule="exact"/>
        <w:ind w:right="0" w:left="216" w:firstLine="72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19"/>
          <w:vertAlign w:val="baseline"/>
          <w:lang w:val="cs-CZ"/>
        </w:rPr>
      </w:pPr>
      <w:r>
        <w:pict>
          <v:line strokeweight="0.7pt" strokecolor="#313334" from="66.95pt,729.6pt" to="211pt,729.6pt" style="position:absolute;mso-position-horizontal-relative:page;mso-position-vertical-relative:page;">
            <v:stroke dashstyle="solid"/>
          </v:line>
        </w:pict>
      </w:r>
      <w:r>
        <w:rPr>
          <w:rFonts w:ascii="Times New Roman" w:hAnsi="Times New Roman" w:eastAsia="Times New Roman"/>
          <w:color w:val="000000"/>
          <w:spacing w:val="0"/>
          <w:w w:val="100"/>
          <w:sz w:val="19"/>
          <w:vertAlign w:val="baseline"/>
          <w:lang w:val="cs-CZ"/>
        </w:rPr>
        <w:t xml:space="preserve">46 odst. 1 zákona č. 200/1990 Sb., o přestupcích, ve znění pozdějších předpisů, § 58 odst. 4 zákona č. 128/2000 Sb., o obcích (obecní zřízení), ve znění pozdějších předpisů.</w:t>
      </w:r>
    </w:p>
    <w:sectPr>
      <w:type w:val="continuous"/>
      <w:pgSz w:w="11563" w:h="16498" w:orient="portrait"/>
      <w:pgMar w:bottom="962" w:top="1300" w:right="1944" w:left="1339" w:header="720" w:footer="720"/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Garamond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otnote w:type="separator" w:id="-1">
    <w:p/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abstractNum w:abstractNumId="1">
    <w:lvl w:ilvl="0">
      <w:start w:val="1"/>
      <w:numFmt w:val="decimal"/>
      <w:lvlText w:val="%1."/>
      <w:pPr>
        <w:tabs>
          <w:tab w:val="left" w:pos="360"/>
        </w:tabs>
      </w:pPr>
      <w:rPr>
        <w:rFonts w:ascii="Garamond" w:hAnsi="Garamond" w:eastAsia="Garamond"/>
        <w:color w:val="000000"/>
        <w:spacing w:val="0"/>
        <w:w w:val="100"/>
        <w:sz w:val="25"/>
        <w:vertAlign w:val="baseline"/>
        <w:lang w:val="cs-CZ"/>
      </w:rPr>
    </w:lvl>
  </w:abstractNum>
  <w:abstractNum w:abstractNumId="2">
    <w:lvl w:ilvl="0">
      <w:start w:val="1"/>
      <w:numFmt w:val="decimal"/>
      <w:lvlText w:val="%1."/>
      <w:pPr>
        <w:tabs>
          <w:tab w:val="left" w:pos="360"/>
        </w:tabs>
      </w:pPr>
      <w:rPr>
        <w:rFonts w:ascii="Garamond" w:hAnsi="Garamond" w:eastAsia="Garamond"/>
        <w:color w:val="000000"/>
        <w:spacing w:val="0"/>
        <w:w w:val="100"/>
        <w:sz w:val="25"/>
        <w:vertAlign w:val="baseline"/>
        <w:lang w:val="cs-CZ"/>
      </w:rPr>
    </w:lvl>
  </w:abstractNum>
  <w:abstractNum w:abstractNumId="3">
    <w:lvl w:ilvl="0">
      <w:start w:val="1"/>
      <w:numFmt w:val="lowerLetter"/>
      <w:lvlText w:val="%1)"/>
      <w:pPr>
        <w:tabs>
          <w:tab w:val="left" w:pos="432"/>
        </w:tabs>
      </w:pPr>
      <w:rPr>
        <w:rFonts w:ascii="Garamond" w:hAnsi="Garamond" w:eastAsia="Garamond"/>
        <w:color w:val="000000"/>
        <w:spacing w:val="-1"/>
        <w:w w:val="100"/>
        <w:sz w:val="25"/>
        <w:vertAlign w:val="baseline"/>
        <w:lang w:val="cs-CZ"/>
      </w:rPr>
    </w:lvl>
  </w:abstractNum>
  <w:abstractNum w:abstractNumId="4">
    <w:lvl w:ilvl="0">
      <w:start w:val="0"/>
      <w:numFmt w:val="lowerLetter"/>
      <w:lvlText w:val="%1)"/>
      <w:pPr>
        <w:tabs>
          <w:tab w:val="left" w:pos="360"/>
        </w:tabs>
      </w:pPr>
      <w:rPr>
        <w:rFonts w:ascii="Times New Roman" w:hAnsi="Times New Roman" w:eastAsia="Times New Roman"/>
        <w:color w:val="000000"/>
        <w:spacing w:val="0"/>
        <w:w w:val="100"/>
        <w:sz w:val="23"/>
        <w:vertAlign w:val="baseline"/>
        <w:lang w:val="cs-CZ"/>
      </w:rPr>
    </w:lvl>
  </w:abstractNum>
  <w:abstractNum w:abstractNumId="5">
    <w:lvl w:ilvl="0">
      <w:start w:val="1"/>
      <w:numFmt w:val="decimal"/>
      <w:lvlText w:val="%1."/>
      <w:pPr>
        <w:tabs>
          <w:tab w:val="left" w:pos="360"/>
        </w:tabs>
      </w:pPr>
      <w:rPr>
        <w:rFonts w:ascii="Times New Roman" w:hAnsi="Times New Roman" w:eastAsia="Times New Roman"/>
        <w:color w:val="000000"/>
        <w:spacing w:val="0"/>
        <w:w w:val="100"/>
        <w:sz w:val="23"/>
        <w:vertAlign w:val="baseline"/>
        <w:lang w:val="cs-CZ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5"/>
  </w:compat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DefaultParagraphFont" w:type="paragraph" w:default="1">
    <w:name w:val="Normal"/>
  </w:style>
  <w:style w:styleId="DefaultParagraphFont" w:type="character" w:default="1">
    <w:name w:val="Default Paragraph Font"/>
  </w:style>
</w:styles>
</file>

<file path=word/_rels/document.xml.rels><Relationships xmlns="http://schemas.openxmlformats.org/package/2006/relationships"><Relationship Id="nId" Type="http://schemas.openxmlformats.org/officeDocument/2006/relationships/numbering" Target="numbering.xml"/><Relationship Id="fId" Type="http://schemas.openxmlformats.org/wordprocessingml/2006/fontTable" Target="fontTable.xml"/><Relationship Id="prId1" Type="http://schemas.openxmlformats.org/officeDocument/2006/relationships/image" Target="media/image1.jpg"/><Relationship Id="prId2" Type="http://schemas.openxmlformats.org/officeDocument/2006/relationships/image" Target="media/image2.jpg"/><Relationship Id="prId3" Type="http://schemas.openxmlformats.org/officeDocument/2006/relationships/image" Target="media/image3.jpg"/><Relationship Id="styleId" Type="http://schemas.openxmlformats.org/officeDocument/2006/relationships/styles" Target="styles.xml"/><Relationship Id="settingId" Type="http://schemas.openxmlformats.org/officeDocument/2006/relationships/settings" Target="settings.xml"/><Relationship Id="footnotesId" Type="http://schemas.openxmlformats.org/officeDocument/2006/relationships/footnotes" Target="footnotes.xml"/></Relationships>
</file>

<file path=docProps/app.xml><?xml version="1.0" encoding="utf-8"?>
<Properti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 xmlns="http://schemas.openxmlformats.org/officeDocument/2006/extended-properties"/>
</file>

<file path=docProps/core.xml><?xml version="1.0" encoding="utf-8"?>
<cp:coreProperties xmlns:dcterms="http://purl.org/dc/terms/" xmlns:xsi="http://www.w3.org/2001/XMLSchema-instance"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dcterms:created xsi:type="dcterms:W3CDTF">2024-12-03T06:54:58Z</dcterms:created>
  <dcterms:modified xsi:type="dcterms:W3CDTF">2024-12-03T06:54:58Z</dcterms:modified>
</cp:coreProperties>
</file>