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 w:type="dxa"/>
        <w:tblLayout w:type="fixed"/>
        <w:tblCellMar>
          <w:left w:w="112" w:type="dxa"/>
          <w:right w:w="112" w:type="dxa"/>
        </w:tblCellMar>
        <w:tblLook w:val="0000" w:firstRow="0" w:lastRow="0" w:firstColumn="0" w:lastColumn="0" w:noHBand="0" w:noVBand="0"/>
      </w:tblPr>
      <w:tblGrid>
        <w:gridCol w:w="1655"/>
        <w:gridCol w:w="7556"/>
      </w:tblGrid>
      <w:tr w:rsidR="003A41B2" w14:paraId="5ED87EB6" w14:textId="77777777" w:rsidTr="00312ABF">
        <w:trPr>
          <w:trHeight w:hRule="exact" w:val="1644"/>
        </w:trPr>
        <w:tc>
          <w:tcPr>
            <w:tcW w:w="1655" w:type="dxa"/>
            <w:tcBorders>
              <w:top w:val="single" w:sz="8" w:space="0" w:color="000000"/>
              <w:left w:val="single" w:sz="8" w:space="0" w:color="000000"/>
              <w:bottom w:val="single" w:sz="8" w:space="0" w:color="000000"/>
            </w:tcBorders>
            <w:shd w:val="clear" w:color="auto" w:fill="auto"/>
            <w:vAlign w:val="center"/>
          </w:tcPr>
          <w:p w14:paraId="6965C1AD" w14:textId="77777777" w:rsidR="003A41B2" w:rsidRDefault="003A41B2" w:rsidP="00312ABF">
            <w:pPr>
              <w:snapToGrid w:val="0"/>
              <w:spacing w:before="120"/>
            </w:pPr>
            <w:bookmarkStart w:id="0" w:name="_1084249503"/>
            <w:r>
              <w:rPr>
                <w:b/>
                <w:noProof/>
              </w:rPr>
              <w:drawing>
                <wp:inline distT="0" distB="0" distL="0" distR="0" wp14:anchorId="651CF232" wp14:editId="22845B08">
                  <wp:extent cx="904875" cy="933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33450"/>
                          </a:xfrm>
                          <a:prstGeom prst="rect">
                            <a:avLst/>
                          </a:prstGeom>
                          <a:solidFill>
                            <a:srgbClr val="FFFFFF">
                              <a:alpha val="0"/>
                            </a:srgbClr>
                          </a:solidFill>
                          <a:ln>
                            <a:noFill/>
                          </a:ln>
                        </pic:spPr>
                      </pic:pic>
                    </a:graphicData>
                  </a:graphic>
                </wp:inline>
              </w:drawing>
            </w:r>
            <w:bookmarkEnd w:id="0"/>
          </w:p>
        </w:tc>
        <w:tc>
          <w:tcPr>
            <w:tcW w:w="7556" w:type="dxa"/>
            <w:tcBorders>
              <w:top w:val="single" w:sz="8" w:space="0" w:color="000000"/>
              <w:bottom w:val="single" w:sz="8" w:space="0" w:color="000000"/>
              <w:right w:val="single" w:sz="8" w:space="0" w:color="000000"/>
            </w:tcBorders>
            <w:shd w:val="clear" w:color="auto" w:fill="auto"/>
            <w:vAlign w:val="center"/>
          </w:tcPr>
          <w:p w14:paraId="7FC3E615" w14:textId="77777777" w:rsidR="003A41B2" w:rsidRDefault="003A41B2" w:rsidP="00312ABF">
            <w:pPr>
              <w:snapToGrid w:val="0"/>
              <w:jc w:val="center"/>
              <w:rPr>
                <w:rFonts w:ascii="Calibri" w:hAnsi="Calibri" w:cs="Calibri"/>
                <w:b/>
                <w:bCs/>
                <w:iCs/>
                <w:sz w:val="56"/>
                <w:szCs w:val="56"/>
              </w:rPr>
            </w:pPr>
            <w:r w:rsidRPr="00341402">
              <w:rPr>
                <w:rFonts w:ascii="Calibri" w:hAnsi="Calibri" w:cs="Calibri"/>
                <w:b/>
                <w:bCs/>
                <w:iCs/>
                <w:sz w:val="56"/>
                <w:szCs w:val="56"/>
              </w:rPr>
              <w:t>MĚSTO VELKÉ HAMRY</w:t>
            </w:r>
          </w:p>
          <w:p w14:paraId="195EA479" w14:textId="77777777" w:rsidR="003A41B2" w:rsidRPr="00D85512" w:rsidRDefault="003A41B2" w:rsidP="00312ABF">
            <w:pPr>
              <w:snapToGrid w:val="0"/>
              <w:jc w:val="center"/>
              <w:rPr>
                <w:rFonts w:ascii="Calibri" w:hAnsi="Calibri" w:cs="Calibri"/>
                <w:b/>
                <w:sz w:val="28"/>
                <w:szCs w:val="28"/>
              </w:rPr>
            </w:pPr>
            <w:r w:rsidRPr="00D85512">
              <w:rPr>
                <w:rFonts w:ascii="Calibri" w:hAnsi="Calibri" w:cs="Calibri"/>
                <w:b/>
                <w:sz w:val="28"/>
                <w:szCs w:val="28"/>
              </w:rPr>
              <w:t>ZASTUPITELSTVO MĚSTA VELKÉ HAMRY</w:t>
            </w:r>
          </w:p>
        </w:tc>
      </w:tr>
    </w:tbl>
    <w:p w14:paraId="3281F445" w14:textId="77777777" w:rsidR="003A41B2" w:rsidRDefault="003A41B2" w:rsidP="00DE6D8F">
      <w:pPr>
        <w:suppressAutoHyphens/>
        <w:autoSpaceDE w:val="0"/>
        <w:autoSpaceDN w:val="0"/>
        <w:spacing w:after="0" w:line="240" w:lineRule="auto"/>
        <w:jc w:val="center"/>
        <w:textAlignment w:val="baseline"/>
        <w:rPr>
          <w:rFonts w:ascii="Arial" w:eastAsia="Calibri" w:hAnsi="Arial" w:cs="Arial"/>
          <w:b/>
          <w:bCs/>
          <w:kern w:val="3"/>
          <w:sz w:val="24"/>
          <w:szCs w:val="24"/>
        </w:rPr>
      </w:pPr>
    </w:p>
    <w:p w14:paraId="3E84C0FA" w14:textId="77777777" w:rsidR="00DE6D8F" w:rsidRPr="00D05A6B" w:rsidRDefault="003A41B2" w:rsidP="00DE6D8F">
      <w:pPr>
        <w:suppressAutoHyphens/>
        <w:autoSpaceDE w:val="0"/>
        <w:autoSpaceDN w:val="0"/>
        <w:spacing w:after="0" w:line="240" w:lineRule="auto"/>
        <w:jc w:val="center"/>
        <w:textAlignment w:val="baseline"/>
        <w:rPr>
          <w:rFonts w:eastAsia="Calibri" w:cstheme="minorHAnsi"/>
          <w:b/>
          <w:bCs/>
          <w:color w:val="FF0000"/>
          <w:kern w:val="3"/>
          <w:sz w:val="28"/>
          <w:szCs w:val="28"/>
        </w:rPr>
      </w:pPr>
      <w:r w:rsidRPr="00D05A6B">
        <w:rPr>
          <w:rFonts w:eastAsia="Calibri" w:cstheme="minorHAnsi"/>
          <w:b/>
          <w:bCs/>
          <w:kern w:val="3"/>
          <w:sz w:val="28"/>
          <w:szCs w:val="28"/>
        </w:rPr>
        <w:t>Obecně závazná vyhláška č. PP/04</w:t>
      </w:r>
      <w:r w:rsidR="00DE6D8F" w:rsidRPr="00D05A6B">
        <w:rPr>
          <w:rFonts w:eastAsia="Calibri" w:cstheme="minorHAnsi"/>
          <w:b/>
          <w:bCs/>
          <w:kern w:val="3"/>
          <w:sz w:val="28"/>
          <w:szCs w:val="28"/>
        </w:rPr>
        <w:t>/20</w:t>
      </w:r>
      <w:r w:rsidRPr="00D05A6B">
        <w:rPr>
          <w:rFonts w:eastAsia="Calibri" w:cstheme="minorHAnsi"/>
          <w:b/>
          <w:bCs/>
          <w:kern w:val="3"/>
          <w:sz w:val="28"/>
          <w:szCs w:val="28"/>
        </w:rPr>
        <w:t>21</w:t>
      </w:r>
      <w:r w:rsidR="00D954FC">
        <w:rPr>
          <w:rFonts w:eastAsia="Calibri" w:cstheme="minorHAnsi"/>
          <w:b/>
          <w:bCs/>
          <w:kern w:val="3"/>
          <w:sz w:val="28"/>
          <w:szCs w:val="28"/>
        </w:rPr>
        <w:t>,</w:t>
      </w:r>
    </w:p>
    <w:p w14:paraId="05EBFC5C" w14:textId="77777777" w:rsidR="00DE6D8F" w:rsidRPr="00D05A6B" w:rsidRDefault="00DE6D8F" w:rsidP="00DE6D8F">
      <w:pPr>
        <w:suppressAutoHyphens/>
        <w:autoSpaceDE w:val="0"/>
        <w:autoSpaceDN w:val="0"/>
        <w:spacing w:after="0" w:line="240" w:lineRule="auto"/>
        <w:jc w:val="center"/>
        <w:textAlignment w:val="baseline"/>
        <w:rPr>
          <w:rFonts w:eastAsia="Calibri" w:cstheme="minorHAnsi"/>
          <w:kern w:val="3"/>
          <w:sz w:val="28"/>
          <w:szCs w:val="28"/>
        </w:rPr>
      </w:pPr>
    </w:p>
    <w:p w14:paraId="493CF81D" w14:textId="77777777" w:rsidR="00DE6D8F" w:rsidRPr="00D05A6B" w:rsidRDefault="00DE6D8F" w:rsidP="00DE6D8F">
      <w:pPr>
        <w:suppressAutoHyphens/>
        <w:autoSpaceDE w:val="0"/>
        <w:autoSpaceDN w:val="0"/>
        <w:spacing w:after="0" w:line="240" w:lineRule="auto"/>
        <w:jc w:val="center"/>
        <w:textAlignment w:val="baseline"/>
        <w:rPr>
          <w:rFonts w:eastAsia="Calibri" w:cstheme="minorHAnsi"/>
          <w:b/>
          <w:bCs/>
          <w:kern w:val="3"/>
          <w:sz w:val="28"/>
          <w:szCs w:val="28"/>
        </w:rPr>
      </w:pPr>
      <w:r w:rsidRPr="00D05A6B">
        <w:rPr>
          <w:rFonts w:eastAsia="Calibri" w:cstheme="minorHAnsi"/>
          <w:b/>
          <w:bCs/>
          <w:kern w:val="3"/>
          <w:sz w:val="28"/>
          <w:szCs w:val="28"/>
        </w:rPr>
        <w:t xml:space="preserve">o stanovení </w:t>
      </w:r>
      <w:r w:rsidR="003A41B2" w:rsidRPr="00D05A6B">
        <w:rPr>
          <w:rFonts w:eastAsia="Calibri" w:cstheme="minorHAnsi"/>
          <w:b/>
          <w:bCs/>
          <w:kern w:val="3"/>
          <w:sz w:val="28"/>
          <w:szCs w:val="28"/>
        </w:rPr>
        <w:t>obecního systému odpadového hospodářství</w:t>
      </w:r>
    </w:p>
    <w:p w14:paraId="43074E32" w14:textId="77777777" w:rsidR="00DE6D8F" w:rsidRPr="003A41B2" w:rsidRDefault="00DE6D8F" w:rsidP="00DE6D8F">
      <w:pPr>
        <w:autoSpaceDE w:val="0"/>
        <w:autoSpaceDN w:val="0"/>
        <w:spacing w:after="0" w:line="240" w:lineRule="auto"/>
        <w:jc w:val="both"/>
        <w:textAlignment w:val="baseline"/>
        <w:rPr>
          <w:rFonts w:eastAsia="Calibri" w:cstheme="minorHAnsi"/>
          <w:kern w:val="3"/>
          <w:sz w:val="24"/>
          <w:szCs w:val="24"/>
        </w:rPr>
      </w:pPr>
    </w:p>
    <w:p w14:paraId="0A4FAFF4" w14:textId="77777777" w:rsidR="00DE6D8F" w:rsidRPr="003A41B2" w:rsidRDefault="00DE6D8F" w:rsidP="00DE6D8F">
      <w:pPr>
        <w:autoSpaceDE w:val="0"/>
        <w:autoSpaceDN w:val="0"/>
        <w:spacing w:after="0" w:line="240" w:lineRule="auto"/>
        <w:ind w:left="284"/>
        <w:jc w:val="both"/>
        <w:textAlignment w:val="baseline"/>
        <w:rPr>
          <w:rFonts w:eastAsia="Calibri" w:cstheme="minorHAnsi"/>
          <w:kern w:val="3"/>
          <w:sz w:val="24"/>
          <w:szCs w:val="24"/>
        </w:rPr>
      </w:pPr>
      <w:r w:rsidRPr="003A41B2">
        <w:rPr>
          <w:rFonts w:eastAsia="Calibri" w:cstheme="minorHAnsi"/>
          <w:kern w:val="3"/>
          <w:sz w:val="24"/>
          <w:szCs w:val="24"/>
        </w:rPr>
        <w:t xml:space="preserve">Zastupitelstvo města Velké Hamry se na svém zasedání dne </w:t>
      </w:r>
      <w:r w:rsidR="00AA56A6">
        <w:rPr>
          <w:rFonts w:eastAsia="Calibri" w:cstheme="minorHAnsi"/>
          <w:kern w:val="3"/>
          <w:sz w:val="24"/>
          <w:szCs w:val="24"/>
        </w:rPr>
        <w:t>30</w:t>
      </w:r>
      <w:r w:rsidR="003A41B2">
        <w:rPr>
          <w:rFonts w:eastAsia="Calibri" w:cstheme="minorHAnsi"/>
          <w:kern w:val="3"/>
          <w:sz w:val="24"/>
          <w:szCs w:val="24"/>
        </w:rPr>
        <w:t>.</w:t>
      </w:r>
      <w:r w:rsidR="00AA56A6">
        <w:rPr>
          <w:rFonts w:eastAsia="Calibri" w:cstheme="minorHAnsi"/>
          <w:kern w:val="3"/>
          <w:sz w:val="24"/>
          <w:szCs w:val="24"/>
        </w:rPr>
        <w:t xml:space="preserve"> 9</w:t>
      </w:r>
      <w:r w:rsidR="003A41B2">
        <w:rPr>
          <w:rFonts w:eastAsia="Calibri" w:cstheme="minorHAnsi"/>
          <w:kern w:val="3"/>
          <w:sz w:val="24"/>
          <w:szCs w:val="24"/>
        </w:rPr>
        <w:t>.</w:t>
      </w:r>
      <w:r w:rsidR="00AA56A6">
        <w:rPr>
          <w:rFonts w:eastAsia="Calibri" w:cstheme="minorHAnsi"/>
          <w:kern w:val="3"/>
          <w:sz w:val="24"/>
          <w:szCs w:val="24"/>
        </w:rPr>
        <w:t xml:space="preserve"> </w:t>
      </w:r>
      <w:r w:rsidR="003A41B2">
        <w:rPr>
          <w:rFonts w:eastAsia="Calibri" w:cstheme="minorHAnsi"/>
          <w:kern w:val="3"/>
          <w:sz w:val="24"/>
          <w:szCs w:val="24"/>
        </w:rPr>
        <w:t>2021</w:t>
      </w:r>
      <w:r w:rsidRPr="003A41B2">
        <w:rPr>
          <w:rFonts w:eastAsia="Calibri" w:cstheme="minorHAnsi"/>
          <w:color w:val="FF0000"/>
          <w:kern w:val="3"/>
          <w:sz w:val="24"/>
          <w:szCs w:val="24"/>
        </w:rPr>
        <w:t xml:space="preserve"> </w:t>
      </w:r>
      <w:r w:rsidR="00CF3BE9" w:rsidRPr="003A41B2">
        <w:rPr>
          <w:rFonts w:eastAsia="Calibri" w:cstheme="minorHAnsi"/>
          <w:kern w:val="3"/>
          <w:sz w:val="24"/>
          <w:szCs w:val="24"/>
        </w:rPr>
        <w:t>usnesením č. A</w:t>
      </w:r>
      <w:r w:rsidR="002F099E">
        <w:rPr>
          <w:rFonts w:eastAsia="Calibri" w:cstheme="minorHAnsi"/>
          <w:kern w:val="3"/>
          <w:sz w:val="24"/>
          <w:szCs w:val="24"/>
        </w:rPr>
        <w:t>10</w:t>
      </w:r>
      <w:r w:rsidR="00CF3BE9" w:rsidRPr="003A41B2">
        <w:rPr>
          <w:rFonts w:eastAsia="Calibri" w:cstheme="minorHAnsi"/>
          <w:kern w:val="3"/>
          <w:sz w:val="24"/>
          <w:szCs w:val="24"/>
        </w:rPr>
        <w:t>/</w:t>
      </w:r>
      <w:r w:rsidR="002F099E">
        <w:rPr>
          <w:rFonts w:eastAsia="Calibri" w:cstheme="minorHAnsi"/>
          <w:kern w:val="3"/>
          <w:sz w:val="24"/>
          <w:szCs w:val="24"/>
        </w:rPr>
        <w:t>17</w:t>
      </w:r>
      <w:r w:rsidR="00CF3BE9" w:rsidRPr="003A41B2">
        <w:rPr>
          <w:rFonts w:eastAsia="Calibri" w:cstheme="minorHAnsi"/>
          <w:kern w:val="3"/>
          <w:sz w:val="24"/>
          <w:szCs w:val="24"/>
        </w:rPr>
        <w:t>/</w:t>
      </w:r>
      <w:r w:rsidR="003A41B2">
        <w:rPr>
          <w:rFonts w:eastAsia="Calibri" w:cstheme="minorHAnsi"/>
          <w:kern w:val="3"/>
          <w:sz w:val="24"/>
          <w:szCs w:val="24"/>
        </w:rPr>
        <w:t>21</w:t>
      </w:r>
      <w:r w:rsidRPr="003A41B2">
        <w:rPr>
          <w:rFonts w:eastAsia="Calibri" w:cstheme="minorHAnsi"/>
          <w:kern w:val="3"/>
          <w:sz w:val="24"/>
          <w:szCs w:val="24"/>
        </w:rPr>
        <w:t xml:space="preserve"> usneslo vydat na základě § </w:t>
      </w:r>
      <w:r w:rsidR="003A41B2">
        <w:rPr>
          <w:rFonts w:eastAsia="Calibri" w:cstheme="minorHAnsi"/>
          <w:kern w:val="3"/>
          <w:sz w:val="24"/>
          <w:szCs w:val="24"/>
        </w:rPr>
        <w:t>59</w:t>
      </w:r>
      <w:r w:rsidRPr="003A41B2">
        <w:rPr>
          <w:rFonts w:eastAsia="Calibri" w:cstheme="minorHAnsi"/>
          <w:kern w:val="3"/>
          <w:sz w:val="24"/>
          <w:szCs w:val="24"/>
        </w:rPr>
        <w:t xml:space="preserve"> odst. </w:t>
      </w:r>
      <w:r w:rsidR="003A41B2">
        <w:rPr>
          <w:rFonts w:eastAsia="Calibri" w:cstheme="minorHAnsi"/>
          <w:kern w:val="3"/>
          <w:sz w:val="24"/>
          <w:szCs w:val="24"/>
        </w:rPr>
        <w:t>4 zákona č. 541</w:t>
      </w:r>
      <w:r w:rsidRPr="003A41B2">
        <w:rPr>
          <w:rFonts w:eastAsia="Calibri" w:cstheme="minorHAnsi"/>
          <w:kern w:val="3"/>
          <w:sz w:val="24"/>
          <w:szCs w:val="24"/>
        </w:rPr>
        <w:t>/20</w:t>
      </w:r>
      <w:r w:rsidR="003A41B2">
        <w:rPr>
          <w:rFonts w:eastAsia="Calibri" w:cstheme="minorHAnsi"/>
          <w:kern w:val="3"/>
          <w:sz w:val="24"/>
          <w:szCs w:val="24"/>
        </w:rPr>
        <w:t>20</w:t>
      </w:r>
      <w:r w:rsidRPr="003A41B2">
        <w:rPr>
          <w:rFonts w:eastAsia="Calibri" w:cstheme="minorHAnsi"/>
          <w:kern w:val="3"/>
          <w:sz w:val="24"/>
          <w:szCs w:val="24"/>
        </w:rPr>
        <w:t xml:space="preserve"> Sb., o odpadech (dále jen „zákon o odpadech“), a v souladu s § 10 písm. d) a § 84 odst. 2 písm. h) zákona č. 128/2000 Sb., o obcích (obecní zřízení), ve znění pozdějších předpisů, tuto obecně závaznou vyhlášku (dále jen „vyhláška“):</w:t>
      </w:r>
    </w:p>
    <w:p w14:paraId="2E1DEAAD" w14:textId="77777777" w:rsidR="00DE6D8F" w:rsidRPr="003A41B2" w:rsidRDefault="00DE6D8F" w:rsidP="00DE6D8F">
      <w:pPr>
        <w:autoSpaceDE w:val="0"/>
        <w:autoSpaceDN w:val="0"/>
        <w:spacing w:after="0" w:line="240" w:lineRule="auto"/>
        <w:jc w:val="both"/>
        <w:textAlignment w:val="baseline"/>
        <w:rPr>
          <w:rFonts w:eastAsia="Calibri" w:cstheme="minorHAnsi"/>
          <w:kern w:val="3"/>
          <w:sz w:val="24"/>
          <w:szCs w:val="24"/>
        </w:rPr>
      </w:pPr>
    </w:p>
    <w:p w14:paraId="4CC0A9D1" w14:textId="77777777" w:rsidR="00DE6D8F" w:rsidRPr="003A41B2" w:rsidRDefault="00DE6D8F" w:rsidP="00DE6D8F">
      <w:pPr>
        <w:autoSpaceDE w:val="0"/>
        <w:autoSpaceDN w:val="0"/>
        <w:spacing w:after="0" w:line="240" w:lineRule="auto"/>
        <w:jc w:val="center"/>
        <w:textAlignment w:val="baseline"/>
        <w:rPr>
          <w:rFonts w:eastAsia="Calibri" w:cstheme="minorHAnsi"/>
          <w:b/>
          <w:bCs/>
          <w:kern w:val="3"/>
          <w:sz w:val="24"/>
          <w:szCs w:val="24"/>
        </w:rPr>
      </w:pPr>
      <w:r w:rsidRPr="003A41B2">
        <w:rPr>
          <w:rFonts w:eastAsia="Calibri" w:cstheme="minorHAnsi"/>
          <w:b/>
          <w:bCs/>
          <w:kern w:val="3"/>
          <w:sz w:val="24"/>
          <w:szCs w:val="24"/>
        </w:rPr>
        <w:t>Čl. 1</w:t>
      </w:r>
    </w:p>
    <w:p w14:paraId="163F8EE5" w14:textId="77777777" w:rsidR="00DE6D8F" w:rsidRPr="003A41B2" w:rsidRDefault="003A41B2" w:rsidP="00DE6D8F">
      <w:pPr>
        <w:autoSpaceDE w:val="0"/>
        <w:autoSpaceDN w:val="0"/>
        <w:spacing w:after="0" w:line="240" w:lineRule="auto"/>
        <w:jc w:val="center"/>
        <w:textAlignment w:val="baseline"/>
        <w:rPr>
          <w:rFonts w:eastAsia="Calibri" w:cstheme="minorHAnsi"/>
          <w:b/>
          <w:bCs/>
          <w:kern w:val="3"/>
          <w:sz w:val="24"/>
          <w:szCs w:val="24"/>
        </w:rPr>
      </w:pPr>
      <w:r>
        <w:rPr>
          <w:rFonts w:eastAsia="Calibri" w:cstheme="minorHAnsi"/>
          <w:b/>
          <w:bCs/>
          <w:kern w:val="3"/>
          <w:sz w:val="24"/>
          <w:szCs w:val="24"/>
        </w:rPr>
        <w:t>Úvodní</w:t>
      </w:r>
      <w:r w:rsidR="00DE6D8F" w:rsidRPr="003A41B2">
        <w:rPr>
          <w:rFonts w:eastAsia="Calibri" w:cstheme="minorHAnsi"/>
          <w:b/>
          <w:bCs/>
          <w:kern w:val="3"/>
          <w:sz w:val="24"/>
          <w:szCs w:val="24"/>
        </w:rPr>
        <w:t xml:space="preserve"> ustanovení</w:t>
      </w:r>
    </w:p>
    <w:p w14:paraId="1F59A41C" w14:textId="77777777" w:rsidR="00DE6D8F" w:rsidRPr="003A41B2" w:rsidRDefault="00DE6D8F" w:rsidP="00DE6D8F">
      <w:pPr>
        <w:autoSpaceDE w:val="0"/>
        <w:autoSpaceDN w:val="0"/>
        <w:spacing w:after="0" w:line="240" w:lineRule="auto"/>
        <w:jc w:val="center"/>
        <w:textAlignment w:val="baseline"/>
        <w:rPr>
          <w:rFonts w:eastAsia="Calibri" w:cstheme="minorHAnsi"/>
          <w:b/>
          <w:bCs/>
          <w:kern w:val="3"/>
          <w:sz w:val="24"/>
          <w:szCs w:val="24"/>
        </w:rPr>
      </w:pPr>
    </w:p>
    <w:p w14:paraId="4CF9937F" w14:textId="77777777" w:rsidR="00DE6D8F" w:rsidRPr="003A41B2" w:rsidRDefault="00DE6D8F" w:rsidP="00DE6D8F">
      <w:pPr>
        <w:numPr>
          <w:ilvl w:val="0"/>
          <w:numId w:val="4"/>
        </w:numPr>
        <w:spacing w:after="0" w:line="240" w:lineRule="auto"/>
        <w:ind w:left="714" w:hanging="357"/>
        <w:jc w:val="both"/>
        <w:rPr>
          <w:rFonts w:eastAsia="Times New Roman" w:cstheme="minorHAnsi"/>
          <w:sz w:val="24"/>
          <w:szCs w:val="24"/>
        </w:rPr>
      </w:pPr>
      <w:r w:rsidRPr="003A41B2">
        <w:rPr>
          <w:rFonts w:eastAsia="Times New Roman" w:cstheme="minorHAnsi"/>
          <w:sz w:val="24"/>
          <w:szCs w:val="24"/>
        </w:rPr>
        <w:t xml:space="preserve">Tato vyhláška </w:t>
      </w:r>
      <w:r w:rsidR="003A41B2">
        <w:rPr>
          <w:rFonts w:eastAsia="Times New Roman" w:cstheme="minorHAnsi"/>
          <w:sz w:val="24"/>
          <w:szCs w:val="24"/>
        </w:rPr>
        <w:t>stanovuje obecní systém odpadového hospodářství na území města Velké Hamry</w:t>
      </w:r>
      <w:r w:rsidRPr="003A41B2">
        <w:rPr>
          <w:rFonts w:eastAsia="Times New Roman" w:cstheme="minorHAnsi"/>
          <w:sz w:val="24"/>
          <w:szCs w:val="24"/>
        </w:rPr>
        <w:t xml:space="preserve">. </w:t>
      </w:r>
    </w:p>
    <w:p w14:paraId="1D9C5A5D" w14:textId="77777777" w:rsidR="00DE6D8F" w:rsidRPr="003A41B2" w:rsidRDefault="00DE6D8F" w:rsidP="00DE6D8F">
      <w:pPr>
        <w:spacing w:after="0" w:line="240" w:lineRule="auto"/>
        <w:ind w:left="714"/>
        <w:jc w:val="both"/>
        <w:rPr>
          <w:rFonts w:eastAsia="Times New Roman" w:cstheme="minorHAnsi"/>
          <w:sz w:val="24"/>
          <w:szCs w:val="24"/>
        </w:rPr>
      </w:pPr>
    </w:p>
    <w:p w14:paraId="1243527E" w14:textId="77777777" w:rsidR="00DE6D8F" w:rsidRDefault="003A41B2" w:rsidP="00DE6D8F">
      <w:pPr>
        <w:numPr>
          <w:ilvl w:val="0"/>
          <w:numId w:val="4"/>
        </w:numPr>
        <w:spacing w:after="0" w:line="240" w:lineRule="auto"/>
        <w:contextualSpacing/>
        <w:jc w:val="both"/>
        <w:rPr>
          <w:rFonts w:eastAsia="Times New Roman" w:cstheme="minorHAnsi"/>
          <w:sz w:val="24"/>
          <w:szCs w:val="24"/>
        </w:rPr>
      </w:pPr>
      <w:r>
        <w:rPr>
          <w:rFonts w:eastAsia="Times New Roman" w:cstheme="minorHAnsi"/>
          <w:sz w:val="24"/>
          <w:szCs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eastAsia="Times New Roman" w:cstheme="minorHAnsi"/>
          <w:sz w:val="24"/>
          <w:szCs w:val="24"/>
        </w:rPr>
        <w:footnoteReference w:id="1"/>
      </w:r>
      <w:r>
        <w:rPr>
          <w:rFonts w:eastAsia="Times New Roman" w:cstheme="minorHAnsi"/>
          <w:sz w:val="24"/>
          <w:szCs w:val="24"/>
        </w:rPr>
        <w:t>.</w:t>
      </w:r>
    </w:p>
    <w:p w14:paraId="3BC061CC" w14:textId="77777777" w:rsidR="003A41B2" w:rsidRDefault="003A41B2" w:rsidP="003A41B2">
      <w:pPr>
        <w:spacing w:after="0" w:line="240" w:lineRule="auto"/>
        <w:ind w:left="720"/>
        <w:contextualSpacing/>
        <w:jc w:val="both"/>
        <w:rPr>
          <w:rFonts w:eastAsia="Times New Roman" w:cstheme="minorHAnsi"/>
          <w:sz w:val="24"/>
          <w:szCs w:val="24"/>
        </w:rPr>
      </w:pPr>
    </w:p>
    <w:p w14:paraId="5E74A786" w14:textId="77777777" w:rsidR="003A41B2" w:rsidRPr="00E46790" w:rsidRDefault="003A41B2" w:rsidP="00DE6D8F">
      <w:pPr>
        <w:numPr>
          <w:ilvl w:val="0"/>
          <w:numId w:val="4"/>
        </w:numPr>
        <w:spacing w:after="0" w:line="240" w:lineRule="auto"/>
        <w:contextualSpacing/>
        <w:jc w:val="both"/>
        <w:rPr>
          <w:rFonts w:eastAsia="Times New Roman" w:cstheme="minorHAnsi"/>
          <w:sz w:val="24"/>
          <w:szCs w:val="24"/>
        </w:rPr>
      </w:pPr>
      <w:r w:rsidRPr="003A41B2">
        <w:rPr>
          <w:rFonts w:cstheme="minorHAnsi"/>
          <w:sz w:val="24"/>
          <w:szCs w:val="24"/>
        </w:rPr>
        <w:t xml:space="preserve">V okamžiku, kdy osoba zapojená do obecního systému odloží movitou věc nebo odpad, </w:t>
      </w:r>
      <w:r w:rsidRPr="003A41B2">
        <w:rPr>
          <w:rFonts w:cstheme="minorHAnsi"/>
          <w:sz w:val="24"/>
          <w:szCs w:val="24"/>
        </w:rPr>
        <w:br/>
        <w:t>s výjimkou výrobků s ukončenou životností, na místě obcí k tomuto účelu určeném, stává se obec vlastníkem této movité věci nebo odpadu</w:t>
      </w:r>
      <w:r>
        <w:rPr>
          <w:rStyle w:val="Znakapoznpodarou"/>
          <w:rFonts w:cstheme="minorHAnsi"/>
          <w:sz w:val="24"/>
          <w:szCs w:val="24"/>
        </w:rPr>
        <w:footnoteReference w:id="2"/>
      </w:r>
      <w:r w:rsidR="00E46790">
        <w:rPr>
          <w:rFonts w:cstheme="minorHAnsi"/>
          <w:sz w:val="24"/>
          <w:szCs w:val="24"/>
        </w:rPr>
        <w:t>.</w:t>
      </w:r>
    </w:p>
    <w:p w14:paraId="3C4BA668" w14:textId="77777777" w:rsidR="00E46790" w:rsidRDefault="00E46790" w:rsidP="00E46790">
      <w:pPr>
        <w:pStyle w:val="Odstavecseseznamem"/>
        <w:rPr>
          <w:rFonts w:eastAsia="Times New Roman" w:cstheme="minorHAnsi"/>
          <w:sz w:val="24"/>
          <w:szCs w:val="24"/>
        </w:rPr>
      </w:pPr>
    </w:p>
    <w:p w14:paraId="3D3BBEBF" w14:textId="77777777" w:rsidR="00E46790" w:rsidRPr="00E46790" w:rsidRDefault="00E46790" w:rsidP="00DE6D8F">
      <w:pPr>
        <w:numPr>
          <w:ilvl w:val="0"/>
          <w:numId w:val="4"/>
        </w:numPr>
        <w:spacing w:after="0" w:line="240" w:lineRule="auto"/>
        <w:contextualSpacing/>
        <w:jc w:val="both"/>
        <w:rPr>
          <w:rFonts w:eastAsia="Times New Roman" w:cstheme="minorHAnsi"/>
          <w:sz w:val="24"/>
          <w:szCs w:val="24"/>
        </w:rPr>
      </w:pPr>
      <w:r w:rsidRPr="00E46790">
        <w:rPr>
          <w:rFonts w:cstheme="minorHAnsi"/>
          <w:sz w:val="24"/>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r>
        <w:rPr>
          <w:rFonts w:cstheme="minorHAnsi"/>
          <w:sz w:val="24"/>
          <w:szCs w:val="24"/>
        </w:rPr>
        <w:t>.</w:t>
      </w:r>
    </w:p>
    <w:p w14:paraId="38116C7F" w14:textId="77777777" w:rsidR="00DE6D8F" w:rsidRPr="003A41B2" w:rsidRDefault="00DE6D8F" w:rsidP="00DE6D8F">
      <w:pPr>
        <w:autoSpaceDE w:val="0"/>
        <w:autoSpaceDN w:val="0"/>
        <w:spacing w:after="0" w:line="240" w:lineRule="auto"/>
        <w:jc w:val="both"/>
        <w:textAlignment w:val="baseline"/>
        <w:rPr>
          <w:rFonts w:eastAsia="Calibri" w:cstheme="minorHAnsi"/>
          <w:kern w:val="3"/>
          <w:sz w:val="24"/>
          <w:szCs w:val="24"/>
        </w:rPr>
      </w:pPr>
    </w:p>
    <w:p w14:paraId="0F7C0614" w14:textId="77777777" w:rsidR="00D05A6B" w:rsidRDefault="00D05A6B" w:rsidP="00DE6D8F">
      <w:pPr>
        <w:autoSpaceDE w:val="0"/>
        <w:autoSpaceDN w:val="0"/>
        <w:spacing w:after="0" w:line="240" w:lineRule="auto"/>
        <w:jc w:val="center"/>
        <w:textAlignment w:val="baseline"/>
        <w:rPr>
          <w:rFonts w:eastAsia="Calibri" w:cstheme="minorHAnsi"/>
          <w:b/>
          <w:bCs/>
          <w:kern w:val="3"/>
          <w:sz w:val="24"/>
          <w:szCs w:val="24"/>
        </w:rPr>
      </w:pPr>
    </w:p>
    <w:p w14:paraId="2401DAC0" w14:textId="77777777" w:rsidR="00D05A6B" w:rsidRDefault="00D05A6B" w:rsidP="00DE6D8F">
      <w:pPr>
        <w:autoSpaceDE w:val="0"/>
        <w:autoSpaceDN w:val="0"/>
        <w:spacing w:after="0" w:line="240" w:lineRule="auto"/>
        <w:jc w:val="center"/>
        <w:textAlignment w:val="baseline"/>
        <w:rPr>
          <w:rFonts w:eastAsia="Calibri" w:cstheme="minorHAnsi"/>
          <w:b/>
          <w:bCs/>
          <w:kern w:val="3"/>
          <w:sz w:val="24"/>
          <w:szCs w:val="24"/>
        </w:rPr>
      </w:pPr>
    </w:p>
    <w:p w14:paraId="7631B50A" w14:textId="77777777" w:rsidR="00D05A6B" w:rsidRDefault="00D05A6B" w:rsidP="00DE6D8F">
      <w:pPr>
        <w:autoSpaceDE w:val="0"/>
        <w:autoSpaceDN w:val="0"/>
        <w:spacing w:after="0" w:line="240" w:lineRule="auto"/>
        <w:jc w:val="center"/>
        <w:textAlignment w:val="baseline"/>
        <w:rPr>
          <w:rFonts w:eastAsia="Calibri" w:cstheme="minorHAnsi"/>
          <w:b/>
          <w:bCs/>
          <w:kern w:val="3"/>
          <w:sz w:val="24"/>
          <w:szCs w:val="24"/>
        </w:rPr>
      </w:pPr>
    </w:p>
    <w:p w14:paraId="6BFB30CC" w14:textId="77777777" w:rsidR="00D05A6B" w:rsidRDefault="00D05A6B" w:rsidP="00DE6D8F">
      <w:pPr>
        <w:autoSpaceDE w:val="0"/>
        <w:autoSpaceDN w:val="0"/>
        <w:spacing w:after="0" w:line="240" w:lineRule="auto"/>
        <w:jc w:val="center"/>
        <w:textAlignment w:val="baseline"/>
        <w:rPr>
          <w:rFonts w:eastAsia="Calibri" w:cstheme="minorHAnsi"/>
          <w:b/>
          <w:bCs/>
          <w:kern w:val="3"/>
          <w:sz w:val="24"/>
          <w:szCs w:val="24"/>
        </w:rPr>
      </w:pPr>
    </w:p>
    <w:p w14:paraId="1E8BFF2B" w14:textId="77777777" w:rsidR="00DE6D8F" w:rsidRPr="003A41B2" w:rsidRDefault="00DE6D8F" w:rsidP="00DE6D8F">
      <w:pPr>
        <w:autoSpaceDE w:val="0"/>
        <w:autoSpaceDN w:val="0"/>
        <w:spacing w:after="0" w:line="240" w:lineRule="auto"/>
        <w:jc w:val="center"/>
        <w:textAlignment w:val="baseline"/>
        <w:rPr>
          <w:rFonts w:eastAsia="Calibri" w:cstheme="minorHAnsi"/>
          <w:b/>
          <w:bCs/>
          <w:kern w:val="3"/>
          <w:sz w:val="24"/>
          <w:szCs w:val="24"/>
        </w:rPr>
      </w:pPr>
      <w:r w:rsidRPr="003A41B2">
        <w:rPr>
          <w:rFonts w:eastAsia="Calibri" w:cstheme="minorHAnsi"/>
          <w:b/>
          <w:bCs/>
          <w:kern w:val="3"/>
          <w:sz w:val="24"/>
          <w:szCs w:val="24"/>
        </w:rPr>
        <w:lastRenderedPageBreak/>
        <w:t>Čl. 2</w:t>
      </w:r>
    </w:p>
    <w:p w14:paraId="7BC8CE3D" w14:textId="77777777" w:rsidR="00DE6D8F" w:rsidRPr="003A41B2" w:rsidRDefault="00E46790" w:rsidP="00DE6D8F">
      <w:pPr>
        <w:spacing w:after="0" w:line="240" w:lineRule="auto"/>
        <w:jc w:val="center"/>
        <w:rPr>
          <w:rFonts w:eastAsia="Times New Roman" w:cstheme="minorHAnsi"/>
          <w:b/>
          <w:sz w:val="24"/>
          <w:szCs w:val="24"/>
        </w:rPr>
      </w:pPr>
      <w:r>
        <w:rPr>
          <w:rFonts w:eastAsia="Times New Roman" w:cstheme="minorHAnsi"/>
          <w:b/>
          <w:sz w:val="24"/>
          <w:szCs w:val="24"/>
        </w:rPr>
        <w:t>Oddělené soustřeďování komunálního odpadu</w:t>
      </w:r>
    </w:p>
    <w:p w14:paraId="619CEE26" w14:textId="77777777" w:rsidR="00DE6D8F" w:rsidRPr="003A41B2" w:rsidRDefault="00DE6D8F" w:rsidP="00DE6D8F">
      <w:pPr>
        <w:spacing w:after="0" w:line="240" w:lineRule="auto"/>
        <w:jc w:val="center"/>
        <w:rPr>
          <w:rFonts w:eastAsia="Times New Roman" w:cstheme="minorHAnsi"/>
          <w:sz w:val="24"/>
          <w:szCs w:val="24"/>
        </w:rPr>
      </w:pPr>
    </w:p>
    <w:p w14:paraId="5C690889" w14:textId="77777777" w:rsidR="00DE6D8F" w:rsidRPr="003A41B2" w:rsidRDefault="00E46790" w:rsidP="00DE6D8F">
      <w:pPr>
        <w:numPr>
          <w:ilvl w:val="0"/>
          <w:numId w:val="6"/>
        </w:numPr>
        <w:spacing w:after="0" w:line="240" w:lineRule="auto"/>
        <w:jc w:val="both"/>
        <w:rPr>
          <w:rFonts w:cstheme="minorHAnsi"/>
          <w:sz w:val="24"/>
          <w:szCs w:val="24"/>
        </w:rPr>
      </w:pPr>
      <w:r>
        <w:rPr>
          <w:rFonts w:cstheme="minorHAnsi"/>
          <w:sz w:val="24"/>
          <w:szCs w:val="24"/>
        </w:rPr>
        <w:t>Osoby předávající komunální odpad na místa určená obcí jsou povinny odděleně soustřeďovat následující složky</w:t>
      </w:r>
      <w:r w:rsidR="00DE6D8F" w:rsidRPr="003A41B2">
        <w:rPr>
          <w:rFonts w:cstheme="minorHAnsi"/>
          <w:sz w:val="24"/>
          <w:szCs w:val="24"/>
        </w:rPr>
        <w:t xml:space="preserve">: </w:t>
      </w:r>
    </w:p>
    <w:p w14:paraId="44795CB7" w14:textId="77777777" w:rsidR="00DE6D8F" w:rsidRPr="003A41B2" w:rsidRDefault="00C8018E" w:rsidP="00C8018E">
      <w:pPr>
        <w:spacing w:after="0" w:line="240" w:lineRule="auto"/>
        <w:ind w:left="993"/>
        <w:rPr>
          <w:rFonts w:eastAsia="Times New Roman" w:cstheme="minorHAnsi"/>
          <w:iCs/>
          <w:sz w:val="24"/>
          <w:szCs w:val="24"/>
        </w:rPr>
      </w:pPr>
      <w:r>
        <w:rPr>
          <w:rFonts w:eastAsia="Times New Roman" w:cstheme="minorHAnsi"/>
          <w:sz w:val="24"/>
          <w:szCs w:val="24"/>
        </w:rPr>
        <w:t>a)</w:t>
      </w:r>
      <w:r>
        <w:rPr>
          <w:rFonts w:eastAsia="Times New Roman" w:cstheme="minorHAnsi"/>
          <w:sz w:val="24"/>
          <w:szCs w:val="24"/>
        </w:rPr>
        <w:tab/>
      </w:r>
      <w:r>
        <w:rPr>
          <w:rFonts w:eastAsia="Times New Roman" w:cstheme="minorHAnsi"/>
          <w:iCs/>
          <w:sz w:val="24"/>
          <w:szCs w:val="24"/>
        </w:rPr>
        <w:t>biologické odpady,</w:t>
      </w:r>
      <w:r w:rsidR="00DE6D8F" w:rsidRPr="003A41B2">
        <w:rPr>
          <w:rFonts w:eastAsia="Times New Roman" w:cstheme="minorHAnsi"/>
          <w:iCs/>
          <w:sz w:val="24"/>
          <w:szCs w:val="24"/>
        </w:rPr>
        <w:t xml:space="preserve"> </w:t>
      </w:r>
    </w:p>
    <w:p w14:paraId="7EE6B65D" w14:textId="77777777" w:rsidR="00DE6D8F" w:rsidRPr="003A41B2" w:rsidRDefault="00C8018E" w:rsidP="00C8018E">
      <w:pPr>
        <w:spacing w:after="0" w:line="240" w:lineRule="auto"/>
        <w:ind w:left="993"/>
        <w:rPr>
          <w:rFonts w:eastAsia="Times New Roman" w:cstheme="minorHAnsi"/>
          <w:iCs/>
          <w:sz w:val="24"/>
          <w:szCs w:val="24"/>
        </w:rPr>
      </w:pPr>
      <w:r>
        <w:rPr>
          <w:rFonts w:eastAsia="Times New Roman" w:cstheme="minorHAnsi"/>
          <w:iCs/>
          <w:sz w:val="24"/>
          <w:szCs w:val="24"/>
        </w:rPr>
        <w:t>b)</w:t>
      </w:r>
      <w:r>
        <w:rPr>
          <w:rFonts w:eastAsia="Times New Roman" w:cstheme="minorHAnsi"/>
          <w:iCs/>
          <w:sz w:val="24"/>
          <w:szCs w:val="24"/>
        </w:rPr>
        <w:tab/>
        <w:t>papír</w:t>
      </w:r>
      <w:r w:rsidR="00DE6D8F" w:rsidRPr="003A41B2">
        <w:rPr>
          <w:rFonts w:eastAsia="Times New Roman" w:cstheme="minorHAnsi"/>
          <w:iCs/>
          <w:sz w:val="24"/>
          <w:szCs w:val="24"/>
        </w:rPr>
        <w:t>,</w:t>
      </w:r>
    </w:p>
    <w:p w14:paraId="73EEFE79" w14:textId="77777777" w:rsidR="00DE6D8F" w:rsidRPr="003A41B2" w:rsidRDefault="00C8018E" w:rsidP="00C8018E">
      <w:pPr>
        <w:spacing w:after="0" w:line="240" w:lineRule="auto"/>
        <w:ind w:left="993"/>
        <w:rPr>
          <w:rFonts w:eastAsia="Times New Roman" w:cstheme="minorHAnsi"/>
          <w:iCs/>
          <w:sz w:val="24"/>
          <w:szCs w:val="24"/>
        </w:rPr>
      </w:pPr>
      <w:r>
        <w:rPr>
          <w:rFonts w:eastAsia="Times New Roman" w:cstheme="minorHAnsi"/>
          <w:iCs/>
          <w:sz w:val="24"/>
          <w:szCs w:val="24"/>
        </w:rPr>
        <w:t>c)</w:t>
      </w:r>
      <w:r>
        <w:rPr>
          <w:rFonts w:eastAsia="Times New Roman" w:cstheme="minorHAnsi"/>
          <w:iCs/>
          <w:sz w:val="24"/>
          <w:szCs w:val="24"/>
        </w:rPr>
        <w:tab/>
        <w:t>plasty včetně PET lahví</w:t>
      </w:r>
      <w:r w:rsidR="00DE6D8F" w:rsidRPr="003A41B2">
        <w:rPr>
          <w:rFonts w:eastAsia="Times New Roman" w:cstheme="minorHAnsi"/>
          <w:iCs/>
          <w:sz w:val="24"/>
          <w:szCs w:val="24"/>
        </w:rPr>
        <w:t>,</w:t>
      </w:r>
    </w:p>
    <w:p w14:paraId="32A56F5B" w14:textId="77777777" w:rsidR="00C8018E" w:rsidRDefault="00C8018E" w:rsidP="00C8018E">
      <w:pPr>
        <w:spacing w:after="0" w:line="240" w:lineRule="auto"/>
        <w:ind w:left="993"/>
        <w:rPr>
          <w:rFonts w:eastAsia="Times New Roman" w:cstheme="minorHAnsi"/>
          <w:iCs/>
          <w:sz w:val="24"/>
          <w:szCs w:val="24"/>
        </w:rPr>
      </w:pPr>
      <w:r>
        <w:rPr>
          <w:rFonts w:eastAsia="Times New Roman" w:cstheme="minorHAnsi"/>
          <w:iCs/>
          <w:sz w:val="24"/>
          <w:szCs w:val="24"/>
        </w:rPr>
        <w:t>d)</w:t>
      </w:r>
      <w:r>
        <w:rPr>
          <w:rFonts w:eastAsia="Times New Roman" w:cstheme="minorHAnsi"/>
          <w:iCs/>
          <w:sz w:val="24"/>
          <w:szCs w:val="24"/>
        </w:rPr>
        <w:tab/>
        <w:t>sklo,</w:t>
      </w:r>
    </w:p>
    <w:p w14:paraId="0FADB23B" w14:textId="77777777" w:rsidR="00C8018E" w:rsidRDefault="00C8018E" w:rsidP="00C8018E">
      <w:pPr>
        <w:spacing w:after="0" w:line="240" w:lineRule="auto"/>
        <w:ind w:left="993"/>
        <w:rPr>
          <w:rFonts w:eastAsia="Times New Roman" w:cstheme="minorHAnsi"/>
          <w:iCs/>
          <w:sz w:val="24"/>
          <w:szCs w:val="24"/>
        </w:rPr>
      </w:pPr>
      <w:r>
        <w:rPr>
          <w:rFonts w:eastAsia="Times New Roman" w:cstheme="minorHAnsi"/>
          <w:iCs/>
          <w:sz w:val="24"/>
          <w:szCs w:val="24"/>
        </w:rPr>
        <w:t>e)</w:t>
      </w:r>
      <w:r>
        <w:rPr>
          <w:rFonts w:eastAsia="Times New Roman" w:cstheme="minorHAnsi"/>
          <w:iCs/>
          <w:sz w:val="24"/>
          <w:szCs w:val="24"/>
        </w:rPr>
        <w:tab/>
        <w:t>kovy,</w:t>
      </w:r>
    </w:p>
    <w:p w14:paraId="159B2F71" w14:textId="77777777" w:rsidR="002A62A9" w:rsidRDefault="002A62A9" w:rsidP="00C8018E">
      <w:pPr>
        <w:spacing w:after="0" w:line="240" w:lineRule="auto"/>
        <w:ind w:left="993"/>
        <w:rPr>
          <w:rFonts w:eastAsia="Times New Roman" w:cstheme="minorHAnsi"/>
          <w:iCs/>
          <w:sz w:val="24"/>
          <w:szCs w:val="24"/>
        </w:rPr>
      </w:pPr>
      <w:r>
        <w:rPr>
          <w:rFonts w:eastAsia="Times New Roman" w:cstheme="minorHAnsi"/>
          <w:iCs/>
          <w:sz w:val="24"/>
          <w:szCs w:val="24"/>
        </w:rPr>
        <w:t>f)</w:t>
      </w:r>
      <w:r>
        <w:rPr>
          <w:rFonts w:eastAsia="Times New Roman" w:cstheme="minorHAnsi"/>
          <w:iCs/>
          <w:sz w:val="24"/>
          <w:szCs w:val="24"/>
        </w:rPr>
        <w:tab/>
        <w:t>nápojové kartony,</w:t>
      </w:r>
    </w:p>
    <w:p w14:paraId="7D77C9C1" w14:textId="77777777" w:rsidR="00C8018E" w:rsidRDefault="00931B75" w:rsidP="00C8018E">
      <w:pPr>
        <w:spacing w:after="0" w:line="240" w:lineRule="auto"/>
        <w:ind w:left="993"/>
        <w:rPr>
          <w:rFonts w:eastAsia="Times New Roman" w:cstheme="minorHAnsi"/>
          <w:iCs/>
          <w:sz w:val="24"/>
          <w:szCs w:val="24"/>
        </w:rPr>
      </w:pPr>
      <w:r>
        <w:rPr>
          <w:rFonts w:eastAsia="Times New Roman" w:cstheme="minorHAnsi"/>
          <w:iCs/>
          <w:sz w:val="24"/>
          <w:szCs w:val="24"/>
        </w:rPr>
        <w:t>g)</w:t>
      </w:r>
      <w:r>
        <w:rPr>
          <w:rFonts w:eastAsia="Times New Roman" w:cstheme="minorHAnsi"/>
          <w:iCs/>
          <w:sz w:val="24"/>
          <w:szCs w:val="24"/>
        </w:rPr>
        <w:tab/>
      </w:r>
      <w:r w:rsidR="00C8018E">
        <w:rPr>
          <w:rFonts w:eastAsia="Times New Roman" w:cstheme="minorHAnsi"/>
          <w:iCs/>
          <w:sz w:val="24"/>
          <w:szCs w:val="24"/>
        </w:rPr>
        <w:t>nebezpečné odpady,</w:t>
      </w:r>
    </w:p>
    <w:p w14:paraId="7783EACB" w14:textId="77777777" w:rsidR="00C8018E" w:rsidRDefault="00AD2006" w:rsidP="00C8018E">
      <w:pPr>
        <w:spacing w:after="0" w:line="240" w:lineRule="auto"/>
        <w:ind w:left="993"/>
        <w:rPr>
          <w:rFonts w:eastAsia="Times New Roman" w:cstheme="minorHAnsi"/>
          <w:iCs/>
          <w:sz w:val="24"/>
          <w:szCs w:val="24"/>
        </w:rPr>
      </w:pPr>
      <w:r>
        <w:rPr>
          <w:rFonts w:eastAsia="Times New Roman" w:cstheme="minorHAnsi"/>
          <w:iCs/>
          <w:sz w:val="24"/>
          <w:szCs w:val="24"/>
        </w:rPr>
        <w:t>h</w:t>
      </w:r>
      <w:r w:rsidR="00C8018E">
        <w:rPr>
          <w:rFonts w:eastAsia="Times New Roman" w:cstheme="minorHAnsi"/>
          <w:iCs/>
          <w:sz w:val="24"/>
          <w:szCs w:val="24"/>
        </w:rPr>
        <w:t>)</w:t>
      </w:r>
      <w:r w:rsidR="00C8018E">
        <w:rPr>
          <w:rFonts w:eastAsia="Times New Roman" w:cstheme="minorHAnsi"/>
          <w:iCs/>
          <w:sz w:val="24"/>
          <w:szCs w:val="24"/>
        </w:rPr>
        <w:tab/>
        <w:t>objemný odpad,</w:t>
      </w:r>
    </w:p>
    <w:p w14:paraId="1AD36D5A" w14:textId="77777777" w:rsidR="00C8018E" w:rsidRDefault="00AD2006" w:rsidP="00C8018E">
      <w:pPr>
        <w:spacing w:after="0" w:line="240" w:lineRule="auto"/>
        <w:ind w:left="993"/>
        <w:rPr>
          <w:rFonts w:eastAsia="Times New Roman" w:cstheme="minorHAnsi"/>
          <w:iCs/>
          <w:sz w:val="24"/>
          <w:szCs w:val="24"/>
        </w:rPr>
      </w:pPr>
      <w:r>
        <w:rPr>
          <w:rFonts w:eastAsia="Times New Roman" w:cstheme="minorHAnsi"/>
          <w:iCs/>
          <w:sz w:val="24"/>
          <w:szCs w:val="24"/>
        </w:rPr>
        <w:t>i</w:t>
      </w:r>
      <w:r w:rsidR="00C8018E">
        <w:rPr>
          <w:rFonts w:eastAsia="Times New Roman" w:cstheme="minorHAnsi"/>
          <w:iCs/>
          <w:sz w:val="24"/>
          <w:szCs w:val="24"/>
        </w:rPr>
        <w:t>)</w:t>
      </w:r>
      <w:r w:rsidR="00C8018E">
        <w:rPr>
          <w:rFonts w:eastAsia="Times New Roman" w:cstheme="minorHAnsi"/>
          <w:iCs/>
          <w:sz w:val="24"/>
          <w:szCs w:val="24"/>
        </w:rPr>
        <w:tab/>
        <w:t>jedlé oleje a tuky,</w:t>
      </w:r>
    </w:p>
    <w:p w14:paraId="3C16D60F" w14:textId="77777777" w:rsidR="00DE6D8F" w:rsidRPr="003A41B2" w:rsidRDefault="00AD2006" w:rsidP="00C8018E">
      <w:pPr>
        <w:spacing w:after="0" w:line="240" w:lineRule="auto"/>
        <w:ind w:left="993"/>
        <w:rPr>
          <w:rFonts w:eastAsia="Times New Roman" w:cstheme="minorHAnsi"/>
          <w:iCs/>
          <w:sz w:val="24"/>
          <w:szCs w:val="24"/>
        </w:rPr>
      </w:pPr>
      <w:r>
        <w:rPr>
          <w:rFonts w:eastAsia="Times New Roman" w:cstheme="minorHAnsi"/>
          <w:iCs/>
          <w:sz w:val="24"/>
          <w:szCs w:val="24"/>
        </w:rPr>
        <w:t>j</w:t>
      </w:r>
      <w:r w:rsidR="00C8018E">
        <w:rPr>
          <w:rFonts w:eastAsia="Times New Roman" w:cstheme="minorHAnsi"/>
          <w:iCs/>
          <w:sz w:val="24"/>
          <w:szCs w:val="24"/>
        </w:rPr>
        <w:t>)</w:t>
      </w:r>
      <w:r w:rsidR="00C8018E">
        <w:rPr>
          <w:rFonts w:eastAsia="Times New Roman" w:cstheme="minorHAnsi"/>
          <w:iCs/>
          <w:sz w:val="24"/>
          <w:szCs w:val="24"/>
        </w:rPr>
        <w:tab/>
        <w:t>směsný komunální odpad</w:t>
      </w:r>
      <w:r w:rsidR="00DE6D8F" w:rsidRPr="003A41B2">
        <w:rPr>
          <w:rFonts w:eastAsia="Times New Roman" w:cstheme="minorHAnsi"/>
          <w:iCs/>
          <w:sz w:val="24"/>
          <w:szCs w:val="24"/>
        </w:rPr>
        <w:t xml:space="preserve"> </w:t>
      </w:r>
    </w:p>
    <w:p w14:paraId="531ED869" w14:textId="77777777" w:rsidR="00DE6D8F" w:rsidRPr="003A41B2" w:rsidRDefault="00DE6D8F" w:rsidP="00DE6D8F">
      <w:pPr>
        <w:spacing w:after="0" w:line="240" w:lineRule="auto"/>
        <w:ind w:left="720"/>
        <w:rPr>
          <w:rFonts w:eastAsia="Times New Roman" w:cstheme="minorHAnsi"/>
          <w:iCs/>
          <w:sz w:val="24"/>
          <w:szCs w:val="24"/>
        </w:rPr>
      </w:pPr>
    </w:p>
    <w:p w14:paraId="6161219D" w14:textId="77777777" w:rsidR="00DE6D8F" w:rsidRDefault="00C8018E" w:rsidP="00DE6D8F">
      <w:pPr>
        <w:numPr>
          <w:ilvl w:val="0"/>
          <w:numId w:val="6"/>
        </w:numPr>
        <w:spacing w:after="0" w:line="240" w:lineRule="auto"/>
        <w:jc w:val="both"/>
        <w:rPr>
          <w:rFonts w:eastAsia="Times New Roman" w:cstheme="minorHAnsi"/>
          <w:sz w:val="24"/>
          <w:szCs w:val="24"/>
        </w:rPr>
      </w:pPr>
      <w:r>
        <w:rPr>
          <w:rFonts w:eastAsia="Times New Roman" w:cstheme="minorHAnsi"/>
          <w:sz w:val="24"/>
          <w:szCs w:val="24"/>
        </w:rPr>
        <w:t>Směsným komunálním odpadem se rozumí zbylý komunální odpad po stanoveném vytřídění podle odstavce 1 písm. a), b), c), d), e), f), g)</w:t>
      </w:r>
      <w:r w:rsidR="002A62A9">
        <w:rPr>
          <w:rFonts w:eastAsia="Times New Roman" w:cstheme="minorHAnsi"/>
          <w:sz w:val="24"/>
          <w:szCs w:val="24"/>
        </w:rPr>
        <w:t>,</w:t>
      </w:r>
      <w:r>
        <w:rPr>
          <w:rFonts w:eastAsia="Times New Roman" w:cstheme="minorHAnsi"/>
          <w:sz w:val="24"/>
          <w:szCs w:val="24"/>
        </w:rPr>
        <w:t xml:space="preserve"> h)</w:t>
      </w:r>
      <w:r w:rsidR="00DC03DE">
        <w:rPr>
          <w:rFonts w:eastAsia="Times New Roman" w:cstheme="minorHAnsi"/>
          <w:sz w:val="24"/>
          <w:szCs w:val="24"/>
        </w:rPr>
        <w:t xml:space="preserve"> a</w:t>
      </w:r>
      <w:r w:rsidR="002A62A9">
        <w:rPr>
          <w:rFonts w:eastAsia="Times New Roman" w:cstheme="minorHAnsi"/>
          <w:sz w:val="24"/>
          <w:szCs w:val="24"/>
        </w:rPr>
        <w:t xml:space="preserve"> i)</w:t>
      </w:r>
      <w:r>
        <w:rPr>
          <w:rFonts w:eastAsia="Times New Roman" w:cstheme="minorHAnsi"/>
          <w:sz w:val="24"/>
          <w:szCs w:val="24"/>
        </w:rPr>
        <w:t>.</w:t>
      </w:r>
    </w:p>
    <w:p w14:paraId="66536C55" w14:textId="77777777" w:rsidR="00F86B2B" w:rsidRDefault="00F86B2B" w:rsidP="00F86B2B">
      <w:pPr>
        <w:spacing w:after="0" w:line="240" w:lineRule="auto"/>
        <w:ind w:left="720"/>
        <w:jc w:val="both"/>
        <w:rPr>
          <w:rFonts w:eastAsia="Times New Roman" w:cstheme="minorHAnsi"/>
          <w:sz w:val="24"/>
          <w:szCs w:val="24"/>
        </w:rPr>
      </w:pPr>
    </w:p>
    <w:p w14:paraId="296FF317" w14:textId="77777777" w:rsidR="00F86B2B" w:rsidRPr="003A41B2" w:rsidRDefault="00F86B2B" w:rsidP="00DE6D8F">
      <w:pPr>
        <w:numPr>
          <w:ilvl w:val="0"/>
          <w:numId w:val="6"/>
        </w:numPr>
        <w:spacing w:after="0" w:line="240" w:lineRule="auto"/>
        <w:jc w:val="both"/>
        <w:rPr>
          <w:rFonts w:eastAsia="Times New Roman" w:cstheme="minorHAnsi"/>
          <w:sz w:val="24"/>
          <w:szCs w:val="24"/>
        </w:rPr>
      </w:pPr>
      <w:r>
        <w:rPr>
          <w:rFonts w:eastAsia="Times New Roman" w:cstheme="minorHAnsi"/>
          <w:sz w:val="24"/>
          <w:szCs w:val="24"/>
        </w:rPr>
        <w:t>Objemný odpad je takový odpad, který vzhledem ke svým rozměrům nemůže být umístěn do sběrných nádob.</w:t>
      </w:r>
    </w:p>
    <w:p w14:paraId="46CD76A6" w14:textId="77777777" w:rsidR="00DE6D8F" w:rsidRPr="003A41B2" w:rsidRDefault="00DE6D8F" w:rsidP="00DE6D8F">
      <w:pPr>
        <w:autoSpaceDE w:val="0"/>
        <w:autoSpaceDN w:val="0"/>
        <w:spacing w:after="0" w:line="240" w:lineRule="auto"/>
        <w:jc w:val="center"/>
        <w:textAlignment w:val="baseline"/>
        <w:rPr>
          <w:rFonts w:eastAsia="Calibri" w:cstheme="minorHAnsi"/>
          <w:b/>
          <w:bCs/>
          <w:kern w:val="3"/>
          <w:sz w:val="24"/>
          <w:szCs w:val="24"/>
        </w:rPr>
      </w:pPr>
    </w:p>
    <w:p w14:paraId="534D881C" w14:textId="77777777" w:rsidR="00DE6D8F" w:rsidRPr="003A41B2" w:rsidRDefault="00DE6D8F" w:rsidP="00DE6D8F">
      <w:pPr>
        <w:autoSpaceDE w:val="0"/>
        <w:autoSpaceDN w:val="0"/>
        <w:spacing w:after="0" w:line="240" w:lineRule="auto"/>
        <w:jc w:val="center"/>
        <w:textAlignment w:val="baseline"/>
        <w:rPr>
          <w:rFonts w:eastAsia="Calibri" w:cstheme="minorHAnsi"/>
          <w:b/>
          <w:bCs/>
          <w:kern w:val="3"/>
          <w:sz w:val="24"/>
          <w:szCs w:val="24"/>
        </w:rPr>
      </w:pPr>
      <w:r w:rsidRPr="003A41B2">
        <w:rPr>
          <w:rFonts w:eastAsia="Calibri" w:cstheme="minorHAnsi"/>
          <w:b/>
          <w:bCs/>
          <w:kern w:val="3"/>
          <w:sz w:val="24"/>
          <w:szCs w:val="24"/>
        </w:rPr>
        <w:t>Čl. 3</w:t>
      </w:r>
    </w:p>
    <w:p w14:paraId="606B70CA" w14:textId="77777777" w:rsidR="00DE6D8F" w:rsidRPr="003A41B2" w:rsidRDefault="00064A92" w:rsidP="00DE6D8F">
      <w:pPr>
        <w:spacing w:after="0" w:line="240" w:lineRule="auto"/>
        <w:jc w:val="center"/>
        <w:rPr>
          <w:rFonts w:eastAsia="Times New Roman" w:cstheme="minorHAnsi"/>
          <w:b/>
          <w:sz w:val="24"/>
          <w:szCs w:val="24"/>
        </w:rPr>
      </w:pPr>
      <w:r>
        <w:rPr>
          <w:rFonts w:eastAsia="Times New Roman" w:cstheme="minorHAnsi"/>
          <w:b/>
          <w:sz w:val="24"/>
          <w:szCs w:val="24"/>
        </w:rPr>
        <w:t>Soustřeďování papíru, plastů, skla, kovů, biologického odpadu</w:t>
      </w:r>
      <w:r w:rsidR="00766EC6">
        <w:rPr>
          <w:rFonts w:eastAsia="Times New Roman" w:cstheme="minorHAnsi"/>
          <w:b/>
          <w:sz w:val="24"/>
          <w:szCs w:val="24"/>
        </w:rPr>
        <w:t>, nápojových kartonů</w:t>
      </w:r>
      <w:r>
        <w:rPr>
          <w:rFonts w:eastAsia="Times New Roman" w:cstheme="minorHAnsi"/>
          <w:b/>
          <w:sz w:val="24"/>
          <w:szCs w:val="24"/>
        </w:rPr>
        <w:t xml:space="preserve"> a jedlých olejů a tuků</w:t>
      </w:r>
    </w:p>
    <w:p w14:paraId="14D2CE53" w14:textId="77777777" w:rsidR="00DE6D8F" w:rsidRPr="003A41B2" w:rsidRDefault="00DE6D8F" w:rsidP="00DE6D8F">
      <w:pPr>
        <w:spacing w:after="0" w:line="240" w:lineRule="auto"/>
        <w:jc w:val="center"/>
        <w:rPr>
          <w:rFonts w:eastAsia="Times New Roman" w:cstheme="minorHAnsi"/>
          <w:b/>
          <w:sz w:val="24"/>
          <w:szCs w:val="24"/>
        </w:rPr>
      </w:pPr>
    </w:p>
    <w:p w14:paraId="764210EE" w14:textId="77777777" w:rsidR="00DE6D8F" w:rsidRPr="003A41B2" w:rsidRDefault="00064A92" w:rsidP="00DE6D8F">
      <w:pPr>
        <w:numPr>
          <w:ilvl w:val="0"/>
          <w:numId w:val="7"/>
        </w:numPr>
        <w:spacing w:after="0" w:line="240" w:lineRule="auto"/>
        <w:jc w:val="both"/>
        <w:rPr>
          <w:rFonts w:eastAsia="Times New Roman" w:cstheme="minorHAnsi"/>
          <w:bCs/>
          <w:sz w:val="24"/>
          <w:szCs w:val="24"/>
        </w:rPr>
      </w:pPr>
      <w:r w:rsidRPr="00064A92">
        <w:rPr>
          <w:rFonts w:cstheme="minorHAnsi"/>
          <w:sz w:val="24"/>
          <w:szCs w:val="24"/>
        </w:rPr>
        <w:t xml:space="preserve">Papír, plasty, sklo, kovy, </w:t>
      </w:r>
      <w:r w:rsidR="002D531C">
        <w:rPr>
          <w:rFonts w:cstheme="minorHAnsi"/>
          <w:sz w:val="24"/>
          <w:szCs w:val="24"/>
        </w:rPr>
        <w:t xml:space="preserve">nápojové kartony, </w:t>
      </w:r>
      <w:r w:rsidRPr="00064A92">
        <w:rPr>
          <w:rFonts w:cstheme="minorHAnsi"/>
          <w:sz w:val="24"/>
          <w:szCs w:val="24"/>
        </w:rPr>
        <w:t>biologické odpady</w:t>
      </w:r>
      <w:r>
        <w:rPr>
          <w:rFonts w:cstheme="minorHAnsi"/>
          <w:sz w:val="24"/>
          <w:szCs w:val="24"/>
        </w:rPr>
        <w:t xml:space="preserve"> a jedlé oleje a tuky</w:t>
      </w:r>
      <w:r w:rsidRPr="00064A92">
        <w:rPr>
          <w:rFonts w:cstheme="minorHAnsi"/>
          <w:sz w:val="24"/>
          <w:szCs w:val="24"/>
        </w:rPr>
        <w:t xml:space="preserve"> se soustřeďují do </w:t>
      </w:r>
      <w:r w:rsidRPr="00064A92">
        <w:rPr>
          <w:rFonts w:cstheme="minorHAnsi"/>
          <w:bCs/>
          <w:sz w:val="24"/>
          <w:szCs w:val="24"/>
        </w:rPr>
        <w:t>zvláštních sběrných nádob</w:t>
      </w:r>
      <w:r w:rsidRPr="00064A92">
        <w:rPr>
          <w:rFonts w:cstheme="minorHAnsi"/>
          <w:sz w:val="24"/>
          <w:szCs w:val="24"/>
        </w:rPr>
        <w:t>, kterými jsou</w:t>
      </w:r>
      <w:r>
        <w:rPr>
          <w:rFonts w:ascii="Arial" w:hAnsi="Arial" w:cs="Arial"/>
        </w:rPr>
        <w:t xml:space="preserve"> </w:t>
      </w:r>
      <w:r w:rsidR="00DE6D8F" w:rsidRPr="003A41B2">
        <w:rPr>
          <w:rFonts w:eastAsia="Times New Roman" w:cstheme="minorHAnsi"/>
          <w:bCs/>
          <w:sz w:val="24"/>
          <w:szCs w:val="24"/>
        </w:rPr>
        <w:t>kontejner</w:t>
      </w:r>
      <w:r>
        <w:rPr>
          <w:rFonts w:eastAsia="Times New Roman" w:cstheme="minorHAnsi"/>
          <w:bCs/>
          <w:sz w:val="24"/>
          <w:szCs w:val="24"/>
        </w:rPr>
        <w:t>y</w:t>
      </w:r>
      <w:r w:rsidR="00A228F3">
        <w:rPr>
          <w:rFonts w:eastAsia="Times New Roman" w:cstheme="minorHAnsi"/>
          <w:bCs/>
          <w:sz w:val="24"/>
          <w:szCs w:val="24"/>
        </w:rPr>
        <w:t>, popelnice</w:t>
      </w:r>
      <w:r w:rsidR="00DE6D8F" w:rsidRPr="003A41B2">
        <w:rPr>
          <w:rFonts w:eastAsia="Times New Roman" w:cstheme="minorHAnsi"/>
          <w:b/>
          <w:bCs/>
          <w:sz w:val="24"/>
          <w:szCs w:val="24"/>
        </w:rPr>
        <w:t xml:space="preserve"> </w:t>
      </w:r>
      <w:r w:rsidR="00DE6D8F" w:rsidRPr="003A41B2">
        <w:rPr>
          <w:rFonts w:eastAsia="Times New Roman" w:cstheme="minorHAnsi"/>
          <w:bCs/>
          <w:sz w:val="24"/>
          <w:szCs w:val="24"/>
        </w:rPr>
        <w:t>a</w:t>
      </w:r>
      <w:r w:rsidR="00DE6D8F" w:rsidRPr="003A41B2">
        <w:rPr>
          <w:rFonts w:eastAsia="Times New Roman" w:cstheme="minorHAnsi"/>
          <w:b/>
          <w:bCs/>
          <w:sz w:val="24"/>
          <w:szCs w:val="24"/>
        </w:rPr>
        <w:t> </w:t>
      </w:r>
      <w:r w:rsidR="00DE6D8F" w:rsidRPr="00064A92">
        <w:rPr>
          <w:rFonts w:eastAsia="Times New Roman" w:cstheme="minorHAnsi"/>
          <w:bCs/>
          <w:sz w:val="24"/>
          <w:szCs w:val="24"/>
        </w:rPr>
        <w:t>pytl</w:t>
      </w:r>
      <w:r w:rsidRPr="00064A92">
        <w:rPr>
          <w:rFonts w:eastAsia="Times New Roman" w:cstheme="minorHAnsi"/>
          <w:bCs/>
          <w:sz w:val="24"/>
          <w:szCs w:val="24"/>
        </w:rPr>
        <w:t>e</w:t>
      </w:r>
      <w:r w:rsidR="00DE6D8F" w:rsidRPr="00064A92">
        <w:rPr>
          <w:rFonts w:eastAsia="Times New Roman" w:cstheme="minorHAnsi"/>
          <w:bCs/>
          <w:sz w:val="24"/>
          <w:szCs w:val="24"/>
        </w:rPr>
        <w:t xml:space="preserve"> na tříděný odpad</w:t>
      </w:r>
      <w:r w:rsidR="00DE6D8F" w:rsidRPr="003A41B2">
        <w:rPr>
          <w:rFonts w:eastAsia="Times New Roman" w:cstheme="minorHAnsi"/>
          <w:b/>
          <w:bCs/>
          <w:sz w:val="24"/>
          <w:szCs w:val="24"/>
        </w:rPr>
        <w:t>.</w:t>
      </w:r>
    </w:p>
    <w:p w14:paraId="5F905EF0" w14:textId="77777777" w:rsidR="00DE6D8F" w:rsidRPr="003A41B2" w:rsidRDefault="00DE6D8F" w:rsidP="00DE6D8F">
      <w:pPr>
        <w:spacing w:after="0" w:line="240" w:lineRule="auto"/>
        <w:ind w:left="720"/>
        <w:jc w:val="both"/>
        <w:rPr>
          <w:rFonts w:eastAsia="Times New Roman" w:cstheme="minorHAnsi"/>
          <w:bCs/>
          <w:sz w:val="24"/>
          <w:szCs w:val="24"/>
        </w:rPr>
      </w:pPr>
    </w:p>
    <w:p w14:paraId="40970D5B" w14:textId="77777777" w:rsidR="00064A92" w:rsidRPr="002A62A9" w:rsidRDefault="002A62A9" w:rsidP="00DE6D8F">
      <w:pPr>
        <w:numPr>
          <w:ilvl w:val="0"/>
          <w:numId w:val="7"/>
        </w:numPr>
        <w:spacing w:after="0" w:line="240" w:lineRule="auto"/>
        <w:jc w:val="both"/>
        <w:rPr>
          <w:rFonts w:eastAsia="Times New Roman" w:cstheme="minorHAnsi"/>
          <w:bCs/>
          <w:sz w:val="24"/>
          <w:szCs w:val="24"/>
        </w:rPr>
      </w:pPr>
      <w:r w:rsidRPr="002A62A9">
        <w:rPr>
          <w:rFonts w:eastAsia="Times New Roman" w:cstheme="minorHAnsi"/>
          <w:bCs/>
          <w:sz w:val="24"/>
          <w:szCs w:val="24"/>
        </w:rPr>
        <w:t>Kontejnery</w:t>
      </w:r>
      <w:r w:rsidR="00A228F3">
        <w:rPr>
          <w:rFonts w:eastAsia="Times New Roman" w:cstheme="minorHAnsi"/>
          <w:sz w:val="24"/>
          <w:szCs w:val="24"/>
        </w:rPr>
        <w:t xml:space="preserve"> a popelnice j</w:t>
      </w:r>
      <w:r w:rsidR="00DE6D8F" w:rsidRPr="003A41B2">
        <w:rPr>
          <w:rFonts w:eastAsia="Times New Roman" w:cstheme="minorHAnsi"/>
          <w:sz w:val="24"/>
          <w:szCs w:val="24"/>
        </w:rPr>
        <w:t xml:space="preserve">sou </w:t>
      </w:r>
      <w:r w:rsidR="00064A92">
        <w:rPr>
          <w:rFonts w:eastAsia="Times New Roman" w:cstheme="minorHAnsi"/>
          <w:sz w:val="24"/>
          <w:szCs w:val="24"/>
        </w:rPr>
        <w:t>umístěny na městem určených stanovištích, která jsou uvedena v příloze č. 1 této vyhlášky.</w:t>
      </w:r>
    </w:p>
    <w:p w14:paraId="7DE832AC" w14:textId="77777777" w:rsidR="002A62A9" w:rsidRPr="002A62A9" w:rsidRDefault="002A62A9" w:rsidP="002A62A9">
      <w:pPr>
        <w:spacing w:after="0" w:line="240" w:lineRule="auto"/>
        <w:jc w:val="both"/>
        <w:rPr>
          <w:rFonts w:eastAsia="Times New Roman" w:cstheme="minorHAnsi"/>
          <w:bCs/>
          <w:sz w:val="24"/>
          <w:szCs w:val="24"/>
        </w:rPr>
      </w:pPr>
    </w:p>
    <w:p w14:paraId="4FECEFC9" w14:textId="77777777" w:rsidR="00064A92" w:rsidRPr="002A62A9" w:rsidRDefault="002A62A9" w:rsidP="00064A92">
      <w:pPr>
        <w:numPr>
          <w:ilvl w:val="0"/>
          <w:numId w:val="7"/>
        </w:numPr>
        <w:spacing w:after="0" w:line="240" w:lineRule="auto"/>
        <w:jc w:val="both"/>
        <w:rPr>
          <w:rFonts w:eastAsia="Times New Roman" w:cstheme="minorHAnsi"/>
          <w:sz w:val="24"/>
          <w:szCs w:val="24"/>
        </w:rPr>
      </w:pPr>
      <w:r w:rsidRPr="002A62A9">
        <w:rPr>
          <w:rFonts w:cstheme="minorHAnsi"/>
          <w:sz w:val="24"/>
          <w:szCs w:val="24"/>
        </w:rPr>
        <w:t xml:space="preserve">Pytle na </w:t>
      </w:r>
      <w:r>
        <w:rPr>
          <w:rFonts w:cstheme="minorHAnsi"/>
          <w:sz w:val="24"/>
          <w:szCs w:val="24"/>
        </w:rPr>
        <w:t>plasty</w:t>
      </w:r>
      <w:r w:rsidR="00A228F3">
        <w:rPr>
          <w:rFonts w:cstheme="minorHAnsi"/>
          <w:sz w:val="24"/>
          <w:szCs w:val="24"/>
        </w:rPr>
        <w:t xml:space="preserve"> a PET lahve</w:t>
      </w:r>
      <w:r>
        <w:rPr>
          <w:rFonts w:cstheme="minorHAnsi"/>
          <w:sz w:val="24"/>
          <w:szCs w:val="24"/>
        </w:rPr>
        <w:t>, kovy a nápojové kartony</w:t>
      </w:r>
      <w:r w:rsidR="00886CEF">
        <w:rPr>
          <w:rFonts w:cstheme="minorHAnsi"/>
          <w:sz w:val="24"/>
          <w:szCs w:val="24"/>
        </w:rPr>
        <w:t xml:space="preserve"> určené k odkládání na stanovištích</w:t>
      </w:r>
      <w:r w:rsidRPr="002A62A9">
        <w:rPr>
          <w:rFonts w:cstheme="minorHAnsi"/>
          <w:sz w:val="24"/>
          <w:szCs w:val="24"/>
        </w:rPr>
        <w:t xml:space="preserve"> je možné zdarma vyzvednout v budově Městského úřadu Velké Hamry, Velké Hamry 362. Tyto pytle se po naplnění a zavázání odkládají na stanovištích zvláštních sběrných nádob uvedených v příloze č. 1 v den svozu dle stanoveného harmonogramu zveřejněného na webových stránkách města.</w:t>
      </w:r>
    </w:p>
    <w:p w14:paraId="4FB7E33C" w14:textId="77777777" w:rsidR="002A62A9" w:rsidRPr="002A62A9" w:rsidRDefault="002A62A9" w:rsidP="002A62A9">
      <w:pPr>
        <w:spacing w:after="0" w:line="240" w:lineRule="auto"/>
        <w:ind w:left="720"/>
        <w:jc w:val="both"/>
        <w:rPr>
          <w:rFonts w:eastAsia="Times New Roman" w:cstheme="minorHAnsi"/>
          <w:sz w:val="24"/>
          <w:szCs w:val="24"/>
        </w:rPr>
      </w:pPr>
    </w:p>
    <w:p w14:paraId="5C95603E" w14:textId="77777777" w:rsidR="00DE6D8F" w:rsidRPr="003A41B2" w:rsidRDefault="002A62A9" w:rsidP="00DE6D8F">
      <w:pPr>
        <w:numPr>
          <w:ilvl w:val="0"/>
          <w:numId w:val="7"/>
        </w:numPr>
        <w:spacing w:after="0" w:line="240" w:lineRule="auto"/>
        <w:jc w:val="both"/>
        <w:rPr>
          <w:rFonts w:eastAsia="Times New Roman" w:cstheme="minorHAnsi"/>
          <w:bCs/>
          <w:sz w:val="24"/>
          <w:szCs w:val="24"/>
        </w:rPr>
      </w:pPr>
      <w:r>
        <w:rPr>
          <w:rFonts w:eastAsia="Times New Roman" w:cstheme="minorHAnsi"/>
          <w:sz w:val="24"/>
          <w:szCs w:val="24"/>
        </w:rPr>
        <w:t>Zvláštní sběrné nádoby jsou barevně odlišeny a označeny příslušnými nápisy:</w:t>
      </w:r>
    </w:p>
    <w:p w14:paraId="699A167E" w14:textId="77777777" w:rsidR="002A62A9" w:rsidRDefault="002A62A9" w:rsidP="00DE6D8F">
      <w:pPr>
        <w:numPr>
          <w:ilvl w:val="0"/>
          <w:numId w:val="3"/>
        </w:numPr>
        <w:spacing w:after="0" w:line="240" w:lineRule="auto"/>
        <w:ind w:left="1077" w:hanging="357"/>
        <w:contextualSpacing/>
        <w:jc w:val="both"/>
        <w:rPr>
          <w:rFonts w:eastAsia="Times New Roman" w:cstheme="minorHAnsi"/>
          <w:iCs/>
          <w:sz w:val="24"/>
          <w:szCs w:val="24"/>
        </w:rPr>
      </w:pPr>
      <w:r w:rsidRPr="00972CFC">
        <w:rPr>
          <w:rFonts w:eastAsia="Times New Roman" w:cstheme="minorHAnsi"/>
          <w:iCs/>
          <w:sz w:val="24"/>
          <w:szCs w:val="24"/>
        </w:rPr>
        <w:t xml:space="preserve">biologické odpady – kontejner </w:t>
      </w:r>
      <w:r>
        <w:rPr>
          <w:rFonts w:eastAsia="Times New Roman" w:cstheme="minorHAnsi"/>
          <w:iCs/>
          <w:sz w:val="24"/>
          <w:szCs w:val="24"/>
        </w:rPr>
        <w:t>barva hnědá</w:t>
      </w:r>
    </w:p>
    <w:p w14:paraId="575DD629" w14:textId="77777777" w:rsidR="00DE6D8F" w:rsidRDefault="00DE6D8F" w:rsidP="00DE6D8F">
      <w:pPr>
        <w:numPr>
          <w:ilvl w:val="0"/>
          <w:numId w:val="3"/>
        </w:numPr>
        <w:spacing w:after="0" w:line="240" w:lineRule="auto"/>
        <w:ind w:left="1077" w:hanging="357"/>
        <w:contextualSpacing/>
        <w:jc w:val="both"/>
        <w:rPr>
          <w:rFonts w:eastAsia="Times New Roman" w:cstheme="minorHAnsi"/>
          <w:iCs/>
          <w:sz w:val="24"/>
          <w:szCs w:val="24"/>
        </w:rPr>
      </w:pPr>
      <w:r w:rsidRPr="003A41B2">
        <w:rPr>
          <w:rFonts w:eastAsia="Times New Roman" w:cstheme="minorHAnsi"/>
          <w:iCs/>
          <w:sz w:val="24"/>
          <w:szCs w:val="24"/>
        </w:rPr>
        <w:t xml:space="preserve">papír – </w:t>
      </w:r>
      <w:r w:rsidR="002A62A9">
        <w:rPr>
          <w:rFonts w:eastAsia="Times New Roman" w:cstheme="minorHAnsi"/>
          <w:iCs/>
          <w:sz w:val="24"/>
          <w:szCs w:val="24"/>
        </w:rPr>
        <w:t xml:space="preserve">kontejner </w:t>
      </w:r>
      <w:r w:rsidRPr="003A41B2">
        <w:rPr>
          <w:rFonts w:eastAsia="Times New Roman" w:cstheme="minorHAnsi"/>
          <w:iCs/>
          <w:sz w:val="24"/>
          <w:szCs w:val="24"/>
        </w:rPr>
        <w:t>barva modrá,</w:t>
      </w:r>
    </w:p>
    <w:p w14:paraId="45EDBC6F" w14:textId="77777777" w:rsidR="002A62A9" w:rsidRPr="003A41B2" w:rsidRDefault="002A62A9" w:rsidP="00DE6D8F">
      <w:pPr>
        <w:numPr>
          <w:ilvl w:val="0"/>
          <w:numId w:val="3"/>
        </w:numPr>
        <w:spacing w:after="0" w:line="240" w:lineRule="auto"/>
        <w:ind w:left="1077" w:hanging="357"/>
        <w:contextualSpacing/>
        <w:jc w:val="both"/>
        <w:rPr>
          <w:rFonts w:eastAsia="Times New Roman" w:cstheme="minorHAnsi"/>
          <w:iCs/>
          <w:sz w:val="24"/>
          <w:szCs w:val="24"/>
        </w:rPr>
      </w:pPr>
      <w:r>
        <w:rPr>
          <w:rFonts w:eastAsia="Times New Roman" w:cstheme="minorHAnsi"/>
          <w:iCs/>
          <w:sz w:val="24"/>
          <w:szCs w:val="24"/>
        </w:rPr>
        <w:t>plasty, PET lahve – kontejner barva žlutá, pytle barva žlutá,</w:t>
      </w:r>
    </w:p>
    <w:p w14:paraId="4C62CA7C" w14:textId="77777777" w:rsidR="00DE6D8F" w:rsidRPr="003A41B2" w:rsidRDefault="00DE6D8F" w:rsidP="00DE6D8F">
      <w:pPr>
        <w:numPr>
          <w:ilvl w:val="0"/>
          <w:numId w:val="3"/>
        </w:numPr>
        <w:spacing w:after="0" w:line="240" w:lineRule="auto"/>
        <w:ind w:left="1077" w:hanging="357"/>
        <w:contextualSpacing/>
        <w:jc w:val="both"/>
        <w:rPr>
          <w:rFonts w:eastAsia="Times New Roman" w:cstheme="minorHAnsi"/>
          <w:iCs/>
          <w:sz w:val="24"/>
          <w:szCs w:val="24"/>
        </w:rPr>
      </w:pPr>
      <w:r w:rsidRPr="003A41B2">
        <w:rPr>
          <w:rFonts w:eastAsia="Times New Roman" w:cstheme="minorHAnsi"/>
          <w:iCs/>
          <w:sz w:val="24"/>
          <w:szCs w:val="24"/>
        </w:rPr>
        <w:t xml:space="preserve">sklo – </w:t>
      </w:r>
      <w:r w:rsidR="002A62A9">
        <w:rPr>
          <w:rFonts w:eastAsia="Times New Roman" w:cstheme="minorHAnsi"/>
          <w:iCs/>
          <w:sz w:val="24"/>
          <w:szCs w:val="24"/>
        </w:rPr>
        <w:t xml:space="preserve">kontejner </w:t>
      </w:r>
      <w:r w:rsidRPr="003A41B2">
        <w:rPr>
          <w:rFonts w:eastAsia="Times New Roman" w:cstheme="minorHAnsi"/>
          <w:iCs/>
          <w:sz w:val="24"/>
          <w:szCs w:val="24"/>
        </w:rPr>
        <w:t>barva zelená,</w:t>
      </w:r>
    </w:p>
    <w:p w14:paraId="04FEE0ED" w14:textId="77777777" w:rsidR="00DE6D8F" w:rsidRDefault="002A62A9" w:rsidP="00DE6D8F">
      <w:pPr>
        <w:numPr>
          <w:ilvl w:val="0"/>
          <w:numId w:val="3"/>
        </w:numPr>
        <w:spacing w:after="0" w:line="240" w:lineRule="auto"/>
        <w:ind w:left="1077" w:hanging="357"/>
        <w:contextualSpacing/>
        <w:jc w:val="both"/>
        <w:rPr>
          <w:rFonts w:eastAsia="Times New Roman" w:cstheme="minorHAnsi"/>
          <w:iCs/>
          <w:sz w:val="24"/>
          <w:szCs w:val="24"/>
        </w:rPr>
      </w:pPr>
      <w:r>
        <w:rPr>
          <w:rFonts w:eastAsia="Times New Roman" w:cstheme="minorHAnsi"/>
          <w:iCs/>
          <w:sz w:val="24"/>
          <w:szCs w:val="24"/>
        </w:rPr>
        <w:lastRenderedPageBreak/>
        <w:t>kovy – kontejner barva žlutá, pytle barva šedá</w:t>
      </w:r>
      <w:r w:rsidR="00DE6D8F" w:rsidRPr="003A41B2">
        <w:rPr>
          <w:rFonts w:eastAsia="Times New Roman" w:cstheme="minorHAnsi"/>
          <w:iCs/>
          <w:sz w:val="24"/>
          <w:szCs w:val="24"/>
        </w:rPr>
        <w:t>,</w:t>
      </w:r>
    </w:p>
    <w:p w14:paraId="41078A76" w14:textId="77777777" w:rsidR="002A62A9" w:rsidRDefault="002A62A9" w:rsidP="00DE6D8F">
      <w:pPr>
        <w:numPr>
          <w:ilvl w:val="0"/>
          <w:numId w:val="3"/>
        </w:numPr>
        <w:spacing w:after="0" w:line="240" w:lineRule="auto"/>
        <w:ind w:left="1077" w:hanging="357"/>
        <w:contextualSpacing/>
        <w:jc w:val="both"/>
        <w:rPr>
          <w:rFonts w:eastAsia="Times New Roman" w:cstheme="minorHAnsi"/>
          <w:iCs/>
          <w:sz w:val="24"/>
          <w:szCs w:val="24"/>
        </w:rPr>
      </w:pPr>
      <w:r>
        <w:rPr>
          <w:rFonts w:eastAsia="Times New Roman" w:cstheme="minorHAnsi"/>
          <w:iCs/>
          <w:sz w:val="24"/>
          <w:szCs w:val="24"/>
        </w:rPr>
        <w:t>nápojové kartony – kontejner barva žlutá, pytle barva oranžová,</w:t>
      </w:r>
    </w:p>
    <w:p w14:paraId="5957AAB4" w14:textId="77777777" w:rsidR="002A62A9" w:rsidRPr="00972CFC" w:rsidRDefault="002A62A9" w:rsidP="00DE6D8F">
      <w:pPr>
        <w:numPr>
          <w:ilvl w:val="0"/>
          <w:numId w:val="3"/>
        </w:numPr>
        <w:spacing w:after="0" w:line="240" w:lineRule="auto"/>
        <w:ind w:left="1077" w:hanging="357"/>
        <w:contextualSpacing/>
        <w:jc w:val="both"/>
        <w:rPr>
          <w:rFonts w:eastAsia="Times New Roman" w:cstheme="minorHAnsi"/>
          <w:iCs/>
          <w:sz w:val="24"/>
          <w:szCs w:val="24"/>
        </w:rPr>
      </w:pPr>
      <w:r w:rsidRPr="00972CFC">
        <w:rPr>
          <w:rFonts w:eastAsia="Times New Roman" w:cstheme="minorHAnsi"/>
          <w:iCs/>
          <w:sz w:val="24"/>
          <w:szCs w:val="24"/>
        </w:rPr>
        <w:t xml:space="preserve">jedlé oleje a tuky </w:t>
      </w:r>
      <w:r w:rsidR="00D31E7C" w:rsidRPr="00972CFC">
        <w:rPr>
          <w:rFonts w:eastAsia="Times New Roman" w:cstheme="minorHAnsi"/>
          <w:iCs/>
          <w:sz w:val="24"/>
          <w:szCs w:val="24"/>
        </w:rPr>
        <w:t>–</w:t>
      </w:r>
      <w:r w:rsidRPr="00972CFC">
        <w:rPr>
          <w:rFonts w:eastAsia="Times New Roman" w:cstheme="minorHAnsi"/>
          <w:iCs/>
          <w:sz w:val="24"/>
          <w:szCs w:val="24"/>
        </w:rPr>
        <w:t xml:space="preserve"> </w:t>
      </w:r>
      <w:r w:rsidR="00D31E7C" w:rsidRPr="00972CFC">
        <w:rPr>
          <w:rFonts w:eastAsia="Times New Roman" w:cstheme="minorHAnsi"/>
          <w:iCs/>
          <w:sz w:val="24"/>
          <w:szCs w:val="24"/>
        </w:rPr>
        <w:t>kontejner barva černá</w:t>
      </w:r>
      <w:r w:rsidR="00806879">
        <w:rPr>
          <w:rFonts w:eastAsia="Times New Roman" w:cstheme="minorHAnsi"/>
          <w:iCs/>
          <w:sz w:val="24"/>
          <w:szCs w:val="24"/>
        </w:rPr>
        <w:t>.</w:t>
      </w:r>
    </w:p>
    <w:p w14:paraId="133CB36E" w14:textId="77777777" w:rsidR="00DE6D8F" w:rsidRPr="003A41B2" w:rsidRDefault="00DE6D8F" w:rsidP="00DE6D8F">
      <w:pPr>
        <w:spacing w:after="0" w:line="240" w:lineRule="auto"/>
        <w:ind w:left="720"/>
        <w:jc w:val="both"/>
        <w:rPr>
          <w:rFonts w:eastAsia="Times New Roman" w:cstheme="minorHAnsi"/>
          <w:iCs/>
          <w:sz w:val="24"/>
          <w:szCs w:val="24"/>
        </w:rPr>
      </w:pPr>
    </w:p>
    <w:p w14:paraId="1ABC35FD" w14:textId="77777777" w:rsidR="00DE6D8F" w:rsidRPr="00766EC6" w:rsidRDefault="00D31E7C" w:rsidP="00DE6D8F">
      <w:pPr>
        <w:numPr>
          <w:ilvl w:val="0"/>
          <w:numId w:val="7"/>
        </w:numPr>
        <w:spacing w:after="0" w:line="240" w:lineRule="auto"/>
        <w:jc w:val="both"/>
        <w:rPr>
          <w:rFonts w:eastAsia="Times New Roman" w:cstheme="minorHAnsi"/>
          <w:b/>
          <w:bCs/>
          <w:sz w:val="24"/>
          <w:szCs w:val="24"/>
        </w:rPr>
      </w:pPr>
      <w:r>
        <w:rPr>
          <w:rFonts w:eastAsia="Times New Roman" w:cstheme="minorHAnsi"/>
          <w:sz w:val="24"/>
          <w:szCs w:val="24"/>
        </w:rPr>
        <w:t>Do zvláštních sběrných nádob je zakázáno ukládat jiné složky komunálních odpadů, než pro které jsou určeny.</w:t>
      </w:r>
    </w:p>
    <w:p w14:paraId="416FF923" w14:textId="77777777" w:rsidR="00766EC6" w:rsidRPr="00766EC6" w:rsidRDefault="00766EC6" w:rsidP="00766EC6">
      <w:pPr>
        <w:spacing w:after="0" w:line="240" w:lineRule="auto"/>
        <w:ind w:left="720"/>
        <w:jc w:val="both"/>
        <w:rPr>
          <w:rFonts w:eastAsia="Times New Roman" w:cstheme="minorHAnsi"/>
          <w:b/>
          <w:bCs/>
          <w:sz w:val="24"/>
          <w:szCs w:val="24"/>
        </w:rPr>
      </w:pPr>
    </w:p>
    <w:p w14:paraId="7FB57F77" w14:textId="77777777" w:rsidR="00766EC6" w:rsidRPr="003A41B2" w:rsidRDefault="00766EC6" w:rsidP="00DE6D8F">
      <w:pPr>
        <w:numPr>
          <w:ilvl w:val="0"/>
          <w:numId w:val="7"/>
        </w:numPr>
        <w:spacing w:after="0" w:line="240" w:lineRule="auto"/>
        <w:jc w:val="both"/>
        <w:rPr>
          <w:rFonts w:eastAsia="Times New Roman" w:cstheme="minorHAnsi"/>
          <w:b/>
          <w:bCs/>
          <w:sz w:val="24"/>
          <w:szCs w:val="24"/>
        </w:rPr>
      </w:pPr>
      <w:r>
        <w:rPr>
          <w:rFonts w:eastAsia="Times New Roman" w:cstheme="minorHAnsi"/>
          <w:bCs/>
          <w:sz w:val="24"/>
          <w:szCs w:val="24"/>
        </w:rPr>
        <w:t>Do žlutých kontejnerů se smí ukládat složky stanovené v odst. 4</w:t>
      </w:r>
      <w:r w:rsidR="00DC03DE">
        <w:rPr>
          <w:rFonts w:eastAsia="Times New Roman" w:cstheme="minorHAnsi"/>
          <w:bCs/>
          <w:sz w:val="24"/>
          <w:szCs w:val="24"/>
        </w:rPr>
        <w:t xml:space="preserve"> písm. </w:t>
      </w:r>
      <w:r>
        <w:rPr>
          <w:rFonts w:eastAsia="Times New Roman" w:cstheme="minorHAnsi"/>
          <w:bCs/>
          <w:sz w:val="24"/>
          <w:szCs w:val="24"/>
        </w:rPr>
        <w:t>c), e) a f) tohoto článku pouze navzájem od sebe odděleně v uzavřených pytlích či taškách tak, aby nedocházelo k mísení druhů odpadu.</w:t>
      </w:r>
      <w:r w:rsidR="00886CEF">
        <w:rPr>
          <w:rFonts w:eastAsia="Times New Roman" w:cstheme="minorHAnsi"/>
          <w:bCs/>
          <w:sz w:val="24"/>
          <w:szCs w:val="24"/>
        </w:rPr>
        <w:t xml:space="preserve"> Pro tento účel městský úřad nevydává žádné speciální pytle. Lze použít jakékoli uzavíratelné pytle či tašky.</w:t>
      </w:r>
    </w:p>
    <w:p w14:paraId="70E7EA92" w14:textId="77777777" w:rsidR="00DE6D8F" w:rsidRPr="003A41B2" w:rsidRDefault="00DE6D8F" w:rsidP="00DE6D8F">
      <w:pPr>
        <w:spacing w:after="0" w:line="240" w:lineRule="auto"/>
        <w:ind w:left="1077"/>
        <w:contextualSpacing/>
        <w:jc w:val="both"/>
        <w:rPr>
          <w:rFonts w:eastAsia="Times New Roman" w:cstheme="minorHAnsi"/>
          <w:iCs/>
          <w:sz w:val="24"/>
          <w:szCs w:val="24"/>
        </w:rPr>
      </w:pPr>
    </w:p>
    <w:p w14:paraId="0C1EC413" w14:textId="77777777" w:rsidR="00DE6D8F" w:rsidRPr="003F37F7" w:rsidRDefault="003F37F7" w:rsidP="00DE6D8F">
      <w:pPr>
        <w:numPr>
          <w:ilvl w:val="0"/>
          <w:numId w:val="7"/>
        </w:numPr>
        <w:spacing w:after="0" w:line="240" w:lineRule="auto"/>
        <w:jc w:val="both"/>
        <w:rPr>
          <w:rFonts w:eastAsia="Times New Roman" w:cstheme="minorHAnsi"/>
          <w:iCs/>
          <w:sz w:val="24"/>
          <w:szCs w:val="24"/>
        </w:rPr>
      </w:pPr>
      <w:r w:rsidRPr="003F37F7">
        <w:rPr>
          <w:rFonts w:cstheme="minorHAnsi"/>
          <w:sz w:val="24"/>
          <w:szCs w:val="24"/>
        </w:rPr>
        <w:t>Zvláštní sběrné nádoby je povinnost plnit tak, aby je bylo možno uzavřít a odpad z nich při manipulaci nevypadával. Pokud to umožňuje povaha odpadu, je nutno objem odpadu před jeho odložením do sběrné nádoby minimalizovat</w:t>
      </w:r>
      <w:r w:rsidR="00DE6D8F" w:rsidRPr="003A41B2">
        <w:rPr>
          <w:rFonts w:cstheme="minorHAnsi"/>
          <w:sz w:val="24"/>
          <w:szCs w:val="24"/>
        </w:rPr>
        <w:t>.</w:t>
      </w:r>
    </w:p>
    <w:p w14:paraId="1354C913" w14:textId="77777777" w:rsidR="003F37F7" w:rsidRPr="003F37F7" w:rsidRDefault="003F37F7" w:rsidP="003F37F7">
      <w:pPr>
        <w:spacing w:after="0" w:line="240" w:lineRule="auto"/>
        <w:ind w:left="720"/>
        <w:jc w:val="both"/>
        <w:rPr>
          <w:rFonts w:eastAsia="Times New Roman" w:cstheme="minorHAnsi"/>
          <w:iCs/>
          <w:sz w:val="24"/>
          <w:szCs w:val="24"/>
        </w:rPr>
      </w:pPr>
    </w:p>
    <w:p w14:paraId="36B28BE9" w14:textId="77777777" w:rsidR="003F37F7" w:rsidRPr="003A41B2" w:rsidRDefault="003F37F7" w:rsidP="00DE6D8F">
      <w:pPr>
        <w:numPr>
          <w:ilvl w:val="0"/>
          <w:numId w:val="7"/>
        </w:numPr>
        <w:spacing w:after="0" w:line="240" w:lineRule="auto"/>
        <w:jc w:val="both"/>
        <w:rPr>
          <w:rFonts w:eastAsia="Times New Roman" w:cstheme="minorHAnsi"/>
          <w:iCs/>
          <w:sz w:val="24"/>
          <w:szCs w:val="24"/>
        </w:rPr>
      </w:pPr>
      <w:r>
        <w:rPr>
          <w:rFonts w:eastAsia="Times New Roman" w:cstheme="minorHAnsi"/>
          <w:iCs/>
          <w:sz w:val="24"/>
          <w:szCs w:val="24"/>
        </w:rPr>
        <w:t xml:space="preserve">Všechny složky komunálního odpadu uvedené v odst. 4 tohoto článku lze také odevzdávat ve sběrném dvoře, který je umístěn na pozemku </w:t>
      </w:r>
      <w:proofErr w:type="spellStart"/>
      <w:r>
        <w:rPr>
          <w:rFonts w:eastAsia="Times New Roman" w:cstheme="minorHAnsi"/>
          <w:iCs/>
          <w:sz w:val="24"/>
          <w:szCs w:val="24"/>
        </w:rPr>
        <w:t>p.č</w:t>
      </w:r>
      <w:proofErr w:type="spellEnd"/>
      <w:r>
        <w:rPr>
          <w:rFonts w:eastAsia="Times New Roman" w:cstheme="minorHAnsi"/>
          <w:iCs/>
          <w:sz w:val="24"/>
          <w:szCs w:val="24"/>
        </w:rPr>
        <w:t xml:space="preserve">. 453/16 v </w:t>
      </w:r>
      <w:proofErr w:type="spellStart"/>
      <w:r>
        <w:rPr>
          <w:rFonts w:eastAsia="Times New Roman" w:cstheme="minorHAnsi"/>
          <w:iCs/>
          <w:sz w:val="24"/>
          <w:szCs w:val="24"/>
        </w:rPr>
        <w:t>k.ú</w:t>
      </w:r>
      <w:proofErr w:type="spellEnd"/>
      <w:r>
        <w:rPr>
          <w:rFonts w:eastAsia="Times New Roman" w:cstheme="minorHAnsi"/>
          <w:iCs/>
          <w:sz w:val="24"/>
          <w:szCs w:val="24"/>
        </w:rPr>
        <w:t>. Bohdalovice.</w:t>
      </w:r>
    </w:p>
    <w:p w14:paraId="7AAE3159" w14:textId="77777777" w:rsidR="001463D2" w:rsidRDefault="001463D2" w:rsidP="00DE6D8F">
      <w:pPr>
        <w:autoSpaceDE w:val="0"/>
        <w:autoSpaceDN w:val="0"/>
        <w:spacing w:after="0" w:line="240" w:lineRule="auto"/>
        <w:jc w:val="center"/>
        <w:textAlignment w:val="baseline"/>
        <w:rPr>
          <w:rFonts w:eastAsia="Calibri" w:cstheme="minorHAnsi"/>
          <w:b/>
          <w:bCs/>
          <w:kern w:val="3"/>
          <w:sz w:val="24"/>
          <w:szCs w:val="24"/>
        </w:rPr>
      </w:pPr>
    </w:p>
    <w:p w14:paraId="07A81D05" w14:textId="77777777" w:rsidR="00DE6D8F" w:rsidRPr="003A41B2" w:rsidRDefault="00DE6D8F" w:rsidP="00DE6D8F">
      <w:pPr>
        <w:autoSpaceDE w:val="0"/>
        <w:autoSpaceDN w:val="0"/>
        <w:spacing w:after="0" w:line="240" w:lineRule="auto"/>
        <w:jc w:val="center"/>
        <w:textAlignment w:val="baseline"/>
        <w:rPr>
          <w:rFonts w:eastAsia="Calibri" w:cstheme="minorHAnsi"/>
          <w:b/>
          <w:bCs/>
          <w:kern w:val="3"/>
          <w:sz w:val="24"/>
          <w:szCs w:val="24"/>
        </w:rPr>
      </w:pPr>
      <w:r w:rsidRPr="003A41B2">
        <w:rPr>
          <w:rFonts w:eastAsia="Calibri" w:cstheme="minorHAnsi"/>
          <w:b/>
          <w:bCs/>
          <w:kern w:val="3"/>
          <w:sz w:val="24"/>
          <w:szCs w:val="24"/>
        </w:rPr>
        <w:t xml:space="preserve">Čl. </w:t>
      </w:r>
      <w:r w:rsidR="00DC03DE">
        <w:rPr>
          <w:rFonts w:eastAsia="Calibri" w:cstheme="minorHAnsi"/>
          <w:b/>
          <w:bCs/>
          <w:kern w:val="3"/>
          <w:sz w:val="24"/>
          <w:szCs w:val="24"/>
        </w:rPr>
        <w:t>4</w:t>
      </w:r>
    </w:p>
    <w:p w14:paraId="576DFBB1" w14:textId="77777777" w:rsidR="00DE6D8F" w:rsidRPr="003A41B2" w:rsidRDefault="003F37F7" w:rsidP="00DE6D8F">
      <w:pPr>
        <w:autoSpaceDE w:val="0"/>
        <w:autoSpaceDN w:val="0"/>
        <w:spacing w:after="0" w:line="240" w:lineRule="auto"/>
        <w:jc w:val="center"/>
        <w:textAlignment w:val="baseline"/>
        <w:rPr>
          <w:rFonts w:eastAsia="Calibri" w:cstheme="minorHAnsi"/>
          <w:b/>
          <w:bCs/>
          <w:kern w:val="3"/>
          <w:sz w:val="24"/>
          <w:szCs w:val="24"/>
        </w:rPr>
      </w:pPr>
      <w:r>
        <w:rPr>
          <w:rFonts w:eastAsia="Calibri" w:cstheme="minorHAnsi"/>
          <w:b/>
          <w:bCs/>
          <w:kern w:val="3"/>
          <w:sz w:val="24"/>
          <w:szCs w:val="24"/>
        </w:rPr>
        <w:t>S</w:t>
      </w:r>
      <w:r w:rsidR="00896006">
        <w:rPr>
          <w:rFonts w:eastAsia="Calibri" w:cstheme="minorHAnsi"/>
          <w:b/>
          <w:bCs/>
          <w:kern w:val="3"/>
          <w:sz w:val="24"/>
          <w:szCs w:val="24"/>
        </w:rPr>
        <w:t>běr</w:t>
      </w:r>
      <w:r>
        <w:rPr>
          <w:rFonts w:eastAsia="Calibri" w:cstheme="minorHAnsi"/>
          <w:b/>
          <w:bCs/>
          <w:kern w:val="3"/>
          <w:sz w:val="24"/>
          <w:szCs w:val="24"/>
        </w:rPr>
        <w:t xml:space="preserve"> nebezpečných složek komunálního odpadu</w:t>
      </w:r>
    </w:p>
    <w:p w14:paraId="315D9BF4" w14:textId="77777777" w:rsidR="00DE6D8F" w:rsidRPr="003A41B2" w:rsidRDefault="00DE6D8F" w:rsidP="00DE6D8F">
      <w:pPr>
        <w:autoSpaceDE w:val="0"/>
        <w:autoSpaceDN w:val="0"/>
        <w:spacing w:after="0" w:line="240" w:lineRule="auto"/>
        <w:jc w:val="center"/>
        <w:textAlignment w:val="baseline"/>
        <w:rPr>
          <w:rFonts w:eastAsia="Calibri" w:cstheme="minorHAnsi"/>
          <w:b/>
          <w:bCs/>
          <w:kern w:val="3"/>
          <w:sz w:val="24"/>
          <w:szCs w:val="24"/>
        </w:rPr>
      </w:pPr>
    </w:p>
    <w:p w14:paraId="6F34B3A2" w14:textId="77777777" w:rsidR="00DE6D8F" w:rsidRPr="00896006" w:rsidRDefault="00896006" w:rsidP="00896006">
      <w:pPr>
        <w:autoSpaceDE w:val="0"/>
        <w:autoSpaceDN w:val="0"/>
        <w:spacing w:after="0" w:line="240" w:lineRule="auto"/>
        <w:jc w:val="both"/>
        <w:textAlignment w:val="baseline"/>
        <w:rPr>
          <w:rFonts w:eastAsia="Calibri" w:cstheme="minorHAnsi"/>
          <w:kern w:val="3"/>
          <w:sz w:val="24"/>
          <w:szCs w:val="24"/>
        </w:rPr>
      </w:pPr>
      <w:r w:rsidRPr="00896006">
        <w:rPr>
          <w:rFonts w:eastAsia="Calibri" w:cstheme="minorHAnsi"/>
          <w:kern w:val="3"/>
          <w:sz w:val="24"/>
          <w:szCs w:val="24"/>
        </w:rPr>
        <w:t xml:space="preserve">Nebezpečný odpad lze odevzdávat ve sběrném dvoře, který je umístěn na pozemku </w:t>
      </w:r>
      <w:proofErr w:type="spellStart"/>
      <w:r w:rsidRPr="00896006">
        <w:rPr>
          <w:rFonts w:eastAsia="Calibri" w:cstheme="minorHAnsi"/>
          <w:kern w:val="3"/>
          <w:sz w:val="24"/>
          <w:szCs w:val="24"/>
        </w:rPr>
        <w:t>p.č</w:t>
      </w:r>
      <w:proofErr w:type="spellEnd"/>
      <w:r w:rsidRPr="00896006">
        <w:rPr>
          <w:rFonts w:eastAsia="Calibri" w:cstheme="minorHAnsi"/>
          <w:kern w:val="3"/>
          <w:sz w:val="24"/>
          <w:szCs w:val="24"/>
        </w:rPr>
        <w:t>. 453/16 v </w:t>
      </w:r>
      <w:proofErr w:type="spellStart"/>
      <w:r w:rsidRPr="00896006">
        <w:rPr>
          <w:rFonts w:eastAsia="Calibri" w:cstheme="minorHAnsi"/>
          <w:kern w:val="3"/>
          <w:sz w:val="24"/>
          <w:szCs w:val="24"/>
        </w:rPr>
        <w:t>k.ú</w:t>
      </w:r>
      <w:proofErr w:type="spellEnd"/>
      <w:r w:rsidRPr="00896006">
        <w:rPr>
          <w:rFonts w:eastAsia="Calibri" w:cstheme="minorHAnsi"/>
          <w:kern w:val="3"/>
          <w:sz w:val="24"/>
          <w:szCs w:val="24"/>
        </w:rPr>
        <w:t>. Bohdalovice</w:t>
      </w:r>
      <w:r w:rsidR="00DE6D8F" w:rsidRPr="00896006">
        <w:rPr>
          <w:rFonts w:eastAsia="Calibri" w:cstheme="minorHAnsi"/>
          <w:kern w:val="3"/>
          <w:sz w:val="24"/>
          <w:szCs w:val="24"/>
        </w:rPr>
        <w:t>.</w:t>
      </w:r>
    </w:p>
    <w:p w14:paraId="53DC3F71" w14:textId="77777777" w:rsidR="00DE6D8F" w:rsidRPr="003A41B2" w:rsidRDefault="00DE6D8F" w:rsidP="00DE6D8F">
      <w:pPr>
        <w:autoSpaceDE w:val="0"/>
        <w:autoSpaceDN w:val="0"/>
        <w:spacing w:after="0" w:line="240" w:lineRule="auto"/>
        <w:jc w:val="center"/>
        <w:textAlignment w:val="baseline"/>
        <w:rPr>
          <w:rFonts w:eastAsia="Calibri" w:cstheme="minorHAnsi"/>
          <w:b/>
          <w:bCs/>
          <w:kern w:val="3"/>
          <w:sz w:val="24"/>
          <w:szCs w:val="24"/>
        </w:rPr>
      </w:pPr>
    </w:p>
    <w:p w14:paraId="437AB9FA" w14:textId="77777777" w:rsidR="00DE6D8F" w:rsidRPr="003A41B2" w:rsidRDefault="00DE6D8F" w:rsidP="00DE6D8F">
      <w:pPr>
        <w:autoSpaceDE w:val="0"/>
        <w:autoSpaceDN w:val="0"/>
        <w:spacing w:after="0" w:line="240" w:lineRule="auto"/>
        <w:jc w:val="center"/>
        <w:textAlignment w:val="baseline"/>
        <w:rPr>
          <w:rFonts w:eastAsia="Calibri" w:cstheme="minorHAnsi"/>
          <w:b/>
          <w:bCs/>
          <w:kern w:val="3"/>
          <w:sz w:val="24"/>
          <w:szCs w:val="24"/>
        </w:rPr>
      </w:pPr>
      <w:r w:rsidRPr="003A41B2">
        <w:rPr>
          <w:rFonts w:eastAsia="Calibri" w:cstheme="minorHAnsi"/>
          <w:b/>
          <w:bCs/>
          <w:kern w:val="3"/>
          <w:sz w:val="24"/>
          <w:szCs w:val="24"/>
        </w:rPr>
        <w:t xml:space="preserve">Čl. </w:t>
      </w:r>
      <w:r w:rsidR="00DC03DE">
        <w:rPr>
          <w:rFonts w:eastAsia="Calibri" w:cstheme="minorHAnsi"/>
          <w:b/>
          <w:bCs/>
          <w:kern w:val="3"/>
          <w:sz w:val="24"/>
          <w:szCs w:val="24"/>
        </w:rPr>
        <w:t>5</w:t>
      </w:r>
    </w:p>
    <w:p w14:paraId="563D8330" w14:textId="77777777" w:rsidR="00DE6D8F" w:rsidRPr="003A41B2" w:rsidRDefault="00DE6D8F" w:rsidP="00DE6D8F">
      <w:pPr>
        <w:autoSpaceDE w:val="0"/>
        <w:autoSpaceDN w:val="0"/>
        <w:spacing w:after="0" w:line="240" w:lineRule="auto"/>
        <w:jc w:val="center"/>
        <w:textAlignment w:val="baseline"/>
        <w:rPr>
          <w:rFonts w:eastAsia="Calibri" w:cstheme="minorHAnsi"/>
          <w:b/>
          <w:bCs/>
          <w:kern w:val="3"/>
          <w:sz w:val="24"/>
          <w:szCs w:val="24"/>
        </w:rPr>
      </w:pPr>
      <w:r w:rsidRPr="003A41B2">
        <w:rPr>
          <w:rFonts w:eastAsia="Calibri" w:cstheme="minorHAnsi"/>
          <w:b/>
          <w:bCs/>
          <w:kern w:val="3"/>
          <w:sz w:val="24"/>
          <w:szCs w:val="24"/>
        </w:rPr>
        <w:t>Sběr objemného odpadu</w:t>
      </w:r>
    </w:p>
    <w:p w14:paraId="10DE9A56" w14:textId="77777777" w:rsidR="00DE6D8F" w:rsidRDefault="00DE6D8F" w:rsidP="00DE6D8F">
      <w:pPr>
        <w:autoSpaceDE w:val="0"/>
        <w:autoSpaceDN w:val="0"/>
        <w:spacing w:after="0" w:line="240" w:lineRule="auto"/>
        <w:jc w:val="center"/>
        <w:textAlignment w:val="baseline"/>
        <w:rPr>
          <w:rFonts w:eastAsia="Calibri" w:cstheme="minorHAnsi"/>
          <w:b/>
          <w:bCs/>
          <w:kern w:val="3"/>
          <w:sz w:val="24"/>
          <w:szCs w:val="24"/>
        </w:rPr>
      </w:pPr>
    </w:p>
    <w:p w14:paraId="46D39D2C" w14:textId="77777777" w:rsidR="00896006" w:rsidRPr="00896006" w:rsidRDefault="00896006" w:rsidP="00896006">
      <w:pPr>
        <w:autoSpaceDE w:val="0"/>
        <w:autoSpaceDN w:val="0"/>
        <w:spacing w:after="0" w:line="240" w:lineRule="auto"/>
        <w:textAlignment w:val="baseline"/>
        <w:rPr>
          <w:rFonts w:eastAsia="Calibri" w:cstheme="minorHAnsi"/>
          <w:bCs/>
          <w:kern w:val="3"/>
          <w:sz w:val="24"/>
          <w:szCs w:val="24"/>
        </w:rPr>
      </w:pPr>
      <w:r>
        <w:rPr>
          <w:rFonts w:eastAsia="Calibri" w:cstheme="minorHAnsi"/>
          <w:bCs/>
          <w:kern w:val="3"/>
          <w:sz w:val="24"/>
          <w:szCs w:val="24"/>
        </w:rPr>
        <w:t xml:space="preserve">Objemný odpad lze odevzdávat ve sběrném dvoře, který je umístěn na pozemku </w:t>
      </w:r>
      <w:proofErr w:type="spellStart"/>
      <w:r>
        <w:rPr>
          <w:rFonts w:eastAsia="Calibri" w:cstheme="minorHAnsi"/>
          <w:bCs/>
          <w:kern w:val="3"/>
          <w:sz w:val="24"/>
          <w:szCs w:val="24"/>
        </w:rPr>
        <w:t>p.č</w:t>
      </w:r>
      <w:proofErr w:type="spellEnd"/>
      <w:r>
        <w:rPr>
          <w:rFonts w:eastAsia="Calibri" w:cstheme="minorHAnsi"/>
          <w:bCs/>
          <w:kern w:val="3"/>
          <w:sz w:val="24"/>
          <w:szCs w:val="24"/>
        </w:rPr>
        <w:t>. 453/16 v </w:t>
      </w:r>
      <w:proofErr w:type="spellStart"/>
      <w:r>
        <w:rPr>
          <w:rFonts w:eastAsia="Calibri" w:cstheme="minorHAnsi"/>
          <w:bCs/>
          <w:kern w:val="3"/>
          <w:sz w:val="24"/>
          <w:szCs w:val="24"/>
        </w:rPr>
        <w:t>k.ú</w:t>
      </w:r>
      <w:proofErr w:type="spellEnd"/>
      <w:r>
        <w:rPr>
          <w:rFonts w:eastAsia="Calibri" w:cstheme="minorHAnsi"/>
          <w:bCs/>
          <w:kern w:val="3"/>
          <w:sz w:val="24"/>
          <w:szCs w:val="24"/>
        </w:rPr>
        <w:t>. Bohdalovice.</w:t>
      </w:r>
    </w:p>
    <w:p w14:paraId="3F418936" w14:textId="77777777" w:rsidR="00DE6D8F" w:rsidRPr="003A41B2" w:rsidRDefault="00DE6D8F" w:rsidP="00DE6D8F">
      <w:pPr>
        <w:autoSpaceDE w:val="0"/>
        <w:autoSpaceDN w:val="0"/>
        <w:spacing w:after="0" w:line="240" w:lineRule="auto"/>
        <w:jc w:val="center"/>
        <w:textAlignment w:val="baseline"/>
        <w:rPr>
          <w:rFonts w:eastAsia="Calibri" w:cstheme="minorHAnsi"/>
          <w:b/>
          <w:bCs/>
          <w:kern w:val="3"/>
          <w:sz w:val="24"/>
          <w:szCs w:val="24"/>
          <w:highlight w:val="yellow"/>
        </w:rPr>
      </w:pPr>
    </w:p>
    <w:p w14:paraId="5039A97E" w14:textId="77777777" w:rsidR="00DE6D8F" w:rsidRPr="003A41B2" w:rsidRDefault="00806879" w:rsidP="00DE6D8F">
      <w:pPr>
        <w:autoSpaceDE w:val="0"/>
        <w:autoSpaceDN w:val="0"/>
        <w:spacing w:after="0" w:line="240" w:lineRule="auto"/>
        <w:jc w:val="center"/>
        <w:textAlignment w:val="baseline"/>
        <w:rPr>
          <w:rFonts w:eastAsia="Calibri" w:cstheme="minorHAnsi"/>
          <w:b/>
          <w:bCs/>
          <w:kern w:val="3"/>
          <w:sz w:val="24"/>
          <w:szCs w:val="24"/>
        </w:rPr>
      </w:pPr>
      <w:r>
        <w:rPr>
          <w:rFonts w:eastAsia="Calibri" w:cstheme="minorHAnsi"/>
          <w:b/>
          <w:bCs/>
          <w:kern w:val="3"/>
          <w:sz w:val="24"/>
          <w:szCs w:val="24"/>
        </w:rPr>
        <w:t xml:space="preserve">Čl. </w:t>
      </w:r>
      <w:r w:rsidR="00DC03DE">
        <w:rPr>
          <w:rFonts w:eastAsia="Calibri" w:cstheme="minorHAnsi"/>
          <w:b/>
          <w:bCs/>
          <w:kern w:val="3"/>
          <w:sz w:val="24"/>
          <w:szCs w:val="24"/>
        </w:rPr>
        <w:t>6</w:t>
      </w:r>
    </w:p>
    <w:p w14:paraId="4F282E8C" w14:textId="77777777" w:rsidR="00DE6D8F" w:rsidRPr="003A41B2" w:rsidRDefault="00896006" w:rsidP="00DE6D8F">
      <w:pPr>
        <w:spacing w:after="0" w:line="240" w:lineRule="auto"/>
        <w:jc w:val="center"/>
        <w:rPr>
          <w:rFonts w:eastAsia="Times New Roman" w:cstheme="minorHAnsi"/>
          <w:b/>
          <w:sz w:val="24"/>
          <w:szCs w:val="24"/>
        </w:rPr>
      </w:pPr>
      <w:r>
        <w:rPr>
          <w:rFonts w:eastAsia="Times New Roman" w:cstheme="minorHAnsi"/>
          <w:b/>
          <w:sz w:val="24"/>
          <w:szCs w:val="24"/>
        </w:rPr>
        <w:t>Soustřeďování</w:t>
      </w:r>
      <w:r w:rsidR="00DE6D8F" w:rsidRPr="003A41B2">
        <w:rPr>
          <w:rFonts w:eastAsia="Times New Roman" w:cstheme="minorHAnsi"/>
          <w:b/>
          <w:sz w:val="24"/>
          <w:szCs w:val="24"/>
        </w:rPr>
        <w:t xml:space="preserve"> směsného komunálního odpadu </w:t>
      </w:r>
    </w:p>
    <w:p w14:paraId="538EA0A7" w14:textId="77777777" w:rsidR="00DE6D8F" w:rsidRPr="003A41B2" w:rsidRDefault="00DE6D8F" w:rsidP="00DE6D8F">
      <w:pPr>
        <w:spacing w:after="0" w:line="240" w:lineRule="auto"/>
        <w:jc w:val="center"/>
        <w:rPr>
          <w:rFonts w:eastAsia="Times New Roman" w:cstheme="minorHAnsi"/>
          <w:b/>
          <w:sz w:val="24"/>
          <w:szCs w:val="24"/>
        </w:rPr>
      </w:pPr>
    </w:p>
    <w:p w14:paraId="21B600CF" w14:textId="77777777" w:rsidR="00DE6D8F" w:rsidRPr="003A41B2" w:rsidRDefault="00DE6D8F" w:rsidP="00DE6D8F">
      <w:pPr>
        <w:numPr>
          <w:ilvl w:val="0"/>
          <w:numId w:val="9"/>
        </w:numPr>
        <w:spacing w:after="0" w:line="240" w:lineRule="auto"/>
        <w:jc w:val="both"/>
        <w:rPr>
          <w:rFonts w:eastAsia="Times New Roman" w:cstheme="minorHAnsi"/>
          <w:sz w:val="24"/>
          <w:szCs w:val="24"/>
        </w:rPr>
      </w:pPr>
      <w:r w:rsidRPr="003A41B2">
        <w:rPr>
          <w:rFonts w:eastAsia="Times New Roman" w:cstheme="minorHAnsi"/>
          <w:sz w:val="24"/>
          <w:szCs w:val="24"/>
        </w:rPr>
        <w:t xml:space="preserve">Směsný komunální odpad se </w:t>
      </w:r>
      <w:r w:rsidR="00896006">
        <w:rPr>
          <w:rFonts w:eastAsia="Times New Roman" w:cstheme="minorHAnsi"/>
          <w:sz w:val="24"/>
          <w:szCs w:val="24"/>
        </w:rPr>
        <w:t>odkládá</w:t>
      </w:r>
      <w:r w:rsidRPr="003A41B2">
        <w:rPr>
          <w:rFonts w:eastAsia="Times New Roman" w:cstheme="minorHAnsi"/>
          <w:sz w:val="24"/>
          <w:szCs w:val="24"/>
        </w:rPr>
        <w:t xml:space="preserve"> do sběrných nádob</w:t>
      </w:r>
      <w:r w:rsidR="00896006">
        <w:rPr>
          <w:rFonts w:eastAsia="Times New Roman" w:cstheme="minorHAnsi"/>
          <w:sz w:val="24"/>
          <w:szCs w:val="24"/>
        </w:rPr>
        <w:t>. Pro účely této vyhlášky se sběrnými nádobami rozumějí:</w:t>
      </w:r>
      <w:r w:rsidRPr="003A41B2">
        <w:rPr>
          <w:rFonts w:eastAsia="Times New Roman" w:cstheme="minorHAnsi"/>
          <w:sz w:val="24"/>
          <w:szCs w:val="24"/>
        </w:rPr>
        <w:t xml:space="preserve"> </w:t>
      </w:r>
    </w:p>
    <w:p w14:paraId="5E49CC61" w14:textId="77777777" w:rsidR="00DE6D8F" w:rsidRPr="003A41B2" w:rsidRDefault="00086FD2" w:rsidP="00DE6D8F">
      <w:pPr>
        <w:numPr>
          <w:ilvl w:val="0"/>
          <w:numId w:val="2"/>
        </w:numPr>
        <w:spacing w:after="0" w:line="240" w:lineRule="auto"/>
        <w:jc w:val="both"/>
        <w:rPr>
          <w:rFonts w:eastAsia="Times New Roman" w:cstheme="minorHAnsi"/>
          <w:iCs/>
          <w:sz w:val="24"/>
          <w:szCs w:val="24"/>
        </w:rPr>
      </w:pPr>
      <w:r>
        <w:rPr>
          <w:rFonts w:eastAsia="Times New Roman" w:cstheme="minorHAnsi"/>
          <w:iCs/>
          <w:sz w:val="24"/>
          <w:szCs w:val="24"/>
        </w:rPr>
        <w:t>P</w:t>
      </w:r>
      <w:r w:rsidR="00054192">
        <w:rPr>
          <w:rFonts w:eastAsia="Times New Roman" w:cstheme="minorHAnsi"/>
          <w:iCs/>
          <w:sz w:val="24"/>
          <w:szCs w:val="24"/>
        </w:rPr>
        <w:t>opelnice</w:t>
      </w:r>
      <w:r>
        <w:rPr>
          <w:rFonts w:eastAsia="Times New Roman" w:cstheme="minorHAnsi"/>
          <w:iCs/>
          <w:sz w:val="24"/>
          <w:szCs w:val="24"/>
        </w:rPr>
        <w:t xml:space="preserve"> o objemu 120 l, 240 l, 1100 l</w:t>
      </w:r>
      <w:r w:rsidR="00797C32">
        <w:rPr>
          <w:rFonts w:eastAsia="Times New Roman" w:cstheme="minorHAnsi"/>
          <w:iCs/>
          <w:sz w:val="24"/>
          <w:szCs w:val="24"/>
        </w:rPr>
        <w:t xml:space="preserve"> (dále jen „typizované sběrné nádoby“)</w:t>
      </w:r>
      <w:r>
        <w:rPr>
          <w:rFonts w:eastAsia="Times New Roman" w:cstheme="minorHAnsi"/>
          <w:iCs/>
          <w:sz w:val="24"/>
          <w:szCs w:val="24"/>
        </w:rPr>
        <w:t>,</w:t>
      </w:r>
    </w:p>
    <w:p w14:paraId="50329482" w14:textId="77777777" w:rsidR="00DE6D8F" w:rsidRPr="00054192" w:rsidRDefault="00054192" w:rsidP="00DE6D8F">
      <w:pPr>
        <w:numPr>
          <w:ilvl w:val="0"/>
          <w:numId w:val="2"/>
        </w:numPr>
        <w:spacing w:after="0" w:line="240" w:lineRule="auto"/>
        <w:jc w:val="both"/>
        <w:rPr>
          <w:rFonts w:eastAsia="Times New Roman" w:cstheme="minorHAnsi"/>
          <w:iCs/>
          <w:sz w:val="24"/>
          <w:szCs w:val="24"/>
        </w:rPr>
      </w:pPr>
      <w:r w:rsidRPr="00054192">
        <w:rPr>
          <w:rFonts w:eastAsia="Times New Roman" w:cstheme="minorHAnsi"/>
          <w:iCs/>
          <w:sz w:val="24"/>
          <w:szCs w:val="24"/>
        </w:rPr>
        <w:t>igelitové pytle</w:t>
      </w:r>
      <w:r w:rsidR="00086FD2">
        <w:rPr>
          <w:rFonts w:eastAsia="Times New Roman" w:cstheme="minorHAnsi"/>
          <w:iCs/>
          <w:sz w:val="24"/>
          <w:szCs w:val="24"/>
        </w:rPr>
        <w:t xml:space="preserve"> označené logem oprávněné osoby o objemu 110 l určené ke shromažďování směsného komunálního odpadu produkovaného v místech těžko přístupných svozové technice a v odlehlých částech města</w:t>
      </w:r>
      <w:r w:rsidR="00797C32">
        <w:rPr>
          <w:rFonts w:eastAsia="Times New Roman" w:cstheme="minorHAnsi"/>
          <w:iCs/>
          <w:sz w:val="24"/>
          <w:szCs w:val="24"/>
        </w:rPr>
        <w:t xml:space="preserve"> (dále jen „pytle na směsný odpad“)</w:t>
      </w:r>
      <w:r>
        <w:rPr>
          <w:rFonts w:eastAsia="Times New Roman" w:cstheme="minorHAnsi"/>
          <w:iCs/>
          <w:sz w:val="24"/>
          <w:szCs w:val="24"/>
        </w:rPr>
        <w:t>,</w:t>
      </w:r>
    </w:p>
    <w:p w14:paraId="3F780EF3" w14:textId="77777777" w:rsidR="00DE6D8F" w:rsidRPr="003A41B2" w:rsidRDefault="00DE6D8F" w:rsidP="00DE6D8F">
      <w:pPr>
        <w:numPr>
          <w:ilvl w:val="0"/>
          <w:numId w:val="2"/>
        </w:numPr>
        <w:spacing w:after="0" w:line="240" w:lineRule="auto"/>
        <w:jc w:val="both"/>
        <w:rPr>
          <w:rFonts w:eastAsia="Times New Roman" w:cstheme="minorHAnsi"/>
          <w:iCs/>
          <w:sz w:val="24"/>
          <w:szCs w:val="24"/>
        </w:rPr>
      </w:pPr>
      <w:r w:rsidRPr="00054192">
        <w:rPr>
          <w:rFonts w:eastAsia="Times New Roman" w:cstheme="minorHAnsi"/>
          <w:iCs/>
          <w:sz w:val="24"/>
          <w:szCs w:val="24"/>
        </w:rPr>
        <w:t>odpadkové koše</w:t>
      </w:r>
      <w:r w:rsidR="00054192">
        <w:rPr>
          <w:rFonts w:eastAsia="Times New Roman" w:cstheme="minorHAnsi"/>
          <w:iCs/>
          <w:sz w:val="24"/>
          <w:szCs w:val="24"/>
        </w:rPr>
        <w:t>, které jsou umístěny na veřejných prostranstvích ve městě, sloužící pro odkládání drobného směsného komunálního odpadu</w:t>
      </w:r>
      <w:r w:rsidRPr="003A41B2">
        <w:rPr>
          <w:rFonts w:eastAsia="Times New Roman" w:cstheme="minorHAnsi"/>
          <w:iCs/>
          <w:sz w:val="24"/>
          <w:szCs w:val="24"/>
        </w:rPr>
        <w:t xml:space="preserve"> </w:t>
      </w:r>
    </w:p>
    <w:p w14:paraId="7BE2644E" w14:textId="77777777" w:rsidR="00DE6D8F" w:rsidRPr="003A41B2" w:rsidRDefault="00DE6D8F" w:rsidP="00DE6D8F">
      <w:pPr>
        <w:spacing w:after="0" w:line="240" w:lineRule="auto"/>
        <w:ind w:left="1080"/>
        <w:jc w:val="both"/>
        <w:rPr>
          <w:rFonts w:eastAsia="Times New Roman" w:cstheme="minorHAnsi"/>
          <w:iCs/>
          <w:sz w:val="24"/>
          <w:szCs w:val="24"/>
        </w:rPr>
      </w:pPr>
    </w:p>
    <w:p w14:paraId="372EF0FC" w14:textId="77777777" w:rsidR="00797C32" w:rsidRDefault="00797C32" w:rsidP="00DE6D8F">
      <w:pPr>
        <w:numPr>
          <w:ilvl w:val="0"/>
          <w:numId w:val="9"/>
        </w:numPr>
        <w:spacing w:after="0" w:line="240" w:lineRule="auto"/>
        <w:jc w:val="both"/>
        <w:rPr>
          <w:rFonts w:cstheme="minorHAnsi"/>
          <w:sz w:val="24"/>
          <w:szCs w:val="24"/>
        </w:rPr>
      </w:pPr>
      <w:r w:rsidRPr="00797C32">
        <w:rPr>
          <w:rFonts w:cstheme="minorHAnsi"/>
          <w:sz w:val="24"/>
          <w:szCs w:val="24"/>
        </w:rPr>
        <w:t>Stanoviště typizovaných sběrných nádob je městem určené místo, kde jsou nádoby trvale nebo přechodně umístěny za účelem odstranění směsného komunálního odpadu oprávněnou osobou. Stanoviště jsou individuální nebo společná pro více fyzických osob</w:t>
      </w:r>
      <w:r>
        <w:rPr>
          <w:rFonts w:cstheme="minorHAnsi"/>
          <w:sz w:val="24"/>
          <w:szCs w:val="24"/>
        </w:rPr>
        <w:t>.</w:t>
      </w:r>
    </w:p>
    <w:p w14:paraId="1EDFB5B6" w14:textId="77777777" w:rsidR="00797C32" w:rsidRDefault="00797C32" w:rsidP="00797C32">
      <w:pPr>
        <w:spacing w:after="0" w:line="240" w:lineRule="auto"/>
        <w:ind w:left="720"/>
        <w:jc w:val="both"/>
        <w:rPr>
          <w:rFonts w:cstheme="minorHAnsi"/>
          <w:sz w:val="24"/>
          <w:szCs w:val="24"/>
        </w:rPr>
      </w:pPr>
    </w:p>
    <w:p w14:paraId="074AC982" w14:textId="77777777" w:rsidR="00797C32" w:rsidRPr="00797C32" w:rsidRDefault="00797C32" w:rsidP="00DE6D8F">
      <w:pPr>
        <w:numPr>
          <w:ilvl w:val="0"/>
          <w:numId w:val="9"/>
        </w:numPr>
        <w:spacing w:after="0" w:line="240" w:lineRule="auto"/>
        <w:jc w:val="both"/>
        <w:rPr>
          <w:rFonts w:cstheme="minorHAnsi"/>
          <w:sz w:val="24"/>
          <w:szCs w:val="24"/>
        </w:rPr>
      </w:pPr>
      <w:r w:rsidRPr="00797C32">
        <w:rPr>
          <w:rFonts w:eastAsia="Times New Roman" w:cstheme="minorHAnsi"/>
          <w:sz w:val="24"/>
          <w:szCs w:val="24"/>
        </w:rPr>
        <w:t xml:space="preserve">Pytle na směsný odpad </w:t>
      </w:r>
      <w:r w:rsidRPr="00797C32">
        <w:rPr>
          <w:rFonts w:cstheme="minorHAnsi"/>
          <w:sz w:val="24"/>
          <w:szCs w:val="24"/>
        </w:rPr>
        <w:t>je možné zdarma vyzvednout v budově Městského úřadu Velké Hamry, Velké Hamry 362. P</w:t>
      </w:r>
      <w:r w:rsidRPr="00797C32">
        <w:rPr>
          <w:rFonts w:eastAsia="Times New Roman" w:cstheme="minorHAnsi"/>
          <w:sz w:val="24"/>
          <w:szCs w:val="24"/>
        </w:rPr>
        <w:t xml:space="preserve">o jejich naplnění a zavázání se odkládají v den </w:t>
      </w:r>
      <w:r w:rsidRPr="00797C32">
        <w:rPr>
          <w:rFonts w:cstheme="minorHAnsi"/>
          <w:sz w:val="24"/>
          <w:szCs w:val="24"/>
        </w:rPr>
        <w:t xml:space="preserve">svozu </w:t>
      </w:r>
      <w:r w:rsidRPr="00797C32">
        <w:rPr>
          <w:rFonts w:eastAsia="Times New Roman" w:cstheme="minorHAnsi"/>
          <w:sz w:val="24"/>
          <w:szCs w:val="24"/>
        </w:rPr>
        <w:t>na nejbližší stanoviště typizovaných sběrných nádob</w:t>
      </w:r>
      <w:r>
        <w:rPr>
          <w:rFonts w:eastAsia="Times New Roman" w:cstheme="minorHAnsi"/>
          <w:sz w:val="24"/>
          <w:szCs w:val="24"/>
        </w:rPr>
        <w:t>.</w:t>
      </w:r>
    </w:p>
    <w:p w14:paraId="5B213127" w14:textId="77777777" w:rsidR="00797C32" w:rsidRPr="00797C32" w:rsidRDefault="00797C32" w:rsidP="00797C32">
      <w:pPr>
        <w:spacing w:after="0" w:line="240" w:lineRule="auto"/>
        <w:jc w:val="both"/>
        <w:rPr>
          <w:rFonts w:cstheme="minorHAnsi"/>
          <w:sz w:val="24"/>
          <w:szCs w:val="24"/>
        </w:rPr>
      </w:pPr>
    </w:p>
    <w:p w14:paraId="23679676" w14:textId="77777777" w:rsidR="00DE6D8F" w:rsidRPr="003A41B2" w:rsidRDefault="00054192" w:rsidP="00DE6D8F">
      <w:pPr>
        <w:numPr>
          <w:ilvl w:val="0"/>
          <w:numId w:val="9"/>
        </w:numPr>
        <w:spacing w:after="0" w:line="240" w:lineRule="auto"/>
        <w:jc w:val="both"/>
        <w:rPr>
          <w:rFonts w:cstheme="minorHAnsi"/>
          <w:sz w:val="24"/>
          <w:szCs w:val="24"/>
        </w:rPr>
      </w:pPr>
      <w:r>
        <w:rPr>
          <w:rFonts w:cstheme="minorHAnsi"/>
          <w:sz w:val="24"/>
          <w:szCs w:val="24"/>
        </w:rPr>
        <w:t xml:space="preserve">Soustřeďování směsného komunálního odpadu podléhá požadavkům stanoveným v čl. 3 odst. 5 a </w:t>
      </w:r>
      <w:r w:rsidR="00797C32">
        <w:rPr>
          <w:rFonts w:cstheme="minorHAnsi"/>
          <w:sz w:val="24"/>
          <w:szCs w:val="24"/>
        </w:rPr>
        <w:t>7</w:t>
      </w:r>
      <w:r w:rsidR="00DE6D8F" w:rsidRPr="003A41B2">
        <w:rPr>
          <w:rFonts w:cstheme="minorHAnsi"/>
          <w:sz w:val="24"/>
          <w:szCs w:val="24"/>
        </w:rPr>
        <w:t>.</w:t>
      </w:r>
    </w:p>
    <w:p w14:paraId="5803F8EB" w14:textId="77777777" w:rsidR="00DC03DE" w:rsidRDefault="00DC03DE" w:rsidP="00DE6D8F">
      <w:pPr>
        <w:autoSpaceDE w:val="0"/>
        <w:autoSpaceDN w:val="0"/>
        <w:spacing w:after="0" w:line="240" w:lineRule="auto"/>
        <w:jc w:val="center"/>
        <w:textAlignment w:val="baseline"/>
        <w:rPr>
          <w:rFonts w:eastAsia="Calibri" w:cstheme="minorHAnsi"/>
          <w:b/>
          <w:bCs/>
          <w:kern w:val="3"/>
          <w:sz w:val="24"/>
          <w:szCs w:val="24"/>
        </w:rPr>
      </w:pPr>
    </w:p>
    <w:p w14:paraId="2B713739" w14:textId="77777777" w:rsidR="00DC03DE" w:rsidRDefault="00DC03DE" w:rsidP="00DC03DE">
      <w:pPr>
        <w:autoSpaceDE w:val="0"/>
        <w:autoSpaceDN w:val="0"/>
        <w:spacing w:after="0" w:line="240" w:lineRule="auto"/>
        <w:jc w:val="center"/>
        <w:textAlignment w:val="baseline"/>
        <w:rPr>
          <w:rFonts w:eastAsia="Calibri" w:cstheme="minorHAnsi"/>
          <w:b/>
          <w:bCs/>
          <w:kern w:val="3"/>
          <w:sz w:val="24"/>
          <w:szCs w:val="24"/>
        </w:rPr>
      </w:pPr>
      <w:r>
        <w:rPr>
          <w:rFonts w:eastAsia="Calibri" w:cstheme="minorHAnsi"/>
          <w:b/>
          <w:bCs/>
          <w:kern w:val="3"/>
          <w:sz w:val="24"/>
          <w:szCs w:val="24"/>
        </w:rPr>
        <w:t>Čl. 7</w:t>
      </w:r>
    </w:p>
    <w:p w14:paraId="3160561B" w14:textId="77777777" w:rsidR="00DC03DE" w:rsidRDefault="00DC03DE" w:rsidP="00DC03DE">
      <w:pPr>
        <w:autoSpaceDE w:val="0"/>
        <w:autoSpaceDN w:val="0"/>
        <w:spacing w:after="0" w:line="240" w:lineRule="auto"/>
        <w:jc w:val="center"/>
        <w:textAlignment w:val="baseline"/>
        <w:rPr>
          <w:rFonts w:eastAsia="Calibri" w:cstheme="minorHAnsi"/>
          <w:b/>
          <w:bCs/>
          <w:kern w:val="3"/>
          <w:sz w:val="24"/>
          <w:szCs w:val="24"/>
        </w:rPr>
      </w:pPr>
      <w:r>
        <w:rPr>
          <w:rFonts w:eastAsia="Calibri" w:cstheme="minorHAnsi"/>
          <w:b/>
          <w:bCs/>
          <w:kern w:val="3"/>
          <w:sz w:val="24"/>
          <w:szCs w:val="24"/>
        </w:rPr>
        <w:t>Místa pro přebírání výrobků s ukončenou životností</w:t>
      </w:r>
    </w:p>
    <w:p w14:paraId="57D41FD3" w14:textId="77777777" w:rsidR="00DC03DE" w:rsidRDefault="00DC03DE" w:rsidP="00DC03DE">
      <w:pPr>
        <w:autoSpaceDE w:val="0"/>
        <w:autoSpaceDN w:val="0"/>
        <w:spacing w:after="0" w:line="240" w:lineRule="auto"/>
        <w:jc w:val="both"/>
        <w:textAlignment w:val="baseline"/>
        <w:rPr>
          <w:rFonts w:eastAsia="Calibri" w:cstheme="minorHAnsi"/>
          <w:kern w:val="3"/>
          <w:sz w:val="24"/>
          <w:szCs w:val="24"/>
        </w:rPr>
      </w:pPr>
    </w:p>
    <w:p w14:paraId="7FD5CF92" w14:textId="77777777" w:rsidR="00DC03DE" w:rsidRDefault="00DC03DE" w:rsidP="00DC03DE">
      <w:pPr>
        <w:autoSpaceDE w:val="0"/>
        <w:autoSpaceDN w:val="0"/>
        <w:spacing w:after="0" w:line="240" w:lineRule="auto"/>
        <w:jc w:val="both"/>
        <w:textAlignment w:val="baseline"/>
        <w:rPr>
          <w:rFonts w:eastAsia="Calibri" w:cstheme="minorHAnsi"/>
          <w:b/>
          <w:bCs/>
          <w:kern w:val="3"/>
          <w:sz w:val="24"/>
          <w:szCs w:val="24"/>
        </w:rPr>
      </w:pPr>
      <w:r>
        <w:rPr>
          <w:rFonts w:eastAsia="Calibri" w:cstheme="minorHAnsi"/>
          <w:kern w:val="3"/>
          <w:sz w:val="24"/>
          <w:szCs w:val="24"/>
        </w:rPr>
        <w:t xml:space="preserve">Město přebírá ve sběrném dvoře umístěném na pozemku </w:t>
      </w:r>
      <w:proofErr w:type="spellStart"/>
      <w:r>
        <w:rPr>
          <w:rFonts w:eastAsia="Calibri" w:cstheme="minorHAnsi"/>
          <w:kern w:val="3"/>
          <w:sz w:val="24"/>
          <w:szCs w:val="24"/>
        </w:rPr>
        <w:t>p.č</w:t>
      </w:r>
      <w:proofErr w:type="spellEnd"/>
      <w:r>
        <w:rPr>
          <w:rFonts w:eastAsia="Calibri" w:cstheme="minorHAnsi"/>
          <w:kern w:val="3"/>
          <w:sz w:val="24"/>
          <w:szCs w:val="24"/>
        </w:rPr>
        <w:t>. 453/16 v </w:t>
      </w:r>
      <w:proofErr w:type="spellStart"/>
      <w:r>
        <w:rPr>
          <w:rFonts w:eastAsia="Calibri" w:cstheme="minorHAnsi"/>
          <w:kern w:val="3"/>
          <w:sz w:val="24"/>
          <w:szCs w:val="24"/>
        </w:rPr>
        <w:t>k.ú</w:t>
      </w:r>
      <w:proofErr w:type="spellEnd"/>
      <w:r>
        <w:rPr>
          <w:rFonts w:eastAsia="Calibri" w:cstheme="minorHAnsi"/>
          <w:kern w:val="3"/>
          <w:sz w:val="24"/>
          <w:szCs w:val="24"/>
        </w:rPr>
        <w:t>. Bohdalovice vybrané výrobky s ukončenou životností v rámci služby pro výrobce podle zákona o výrobcích s ukončenou životností, a to elektrozařízení</w:t>
      </w:r>
      <w:r w:rsidR="00776A3C">
        <w:rPr>
          <w:rFonts w:eastAsia="Calibri" w:cstheme="minorHAnsi"/>
          <w:kern w:val="3"/>
          <w:sz w:val="24"/>
          <w:szCs w:val="24"/>
        </w:rPr>
        <w:t>.</w:t>
      </w:r>
      <w:r>
        <w:rPr>
          <w:rStyle w:val="Znakapoznpodarou"/>
          <w:rFonts w:eastAsia="Calibri" w:cstheme="minorHAnsi"/>
          <w:kern w:val="3"/>
          <w:sz w:val="24"/>
          <w:szCs w:val="24"/>
        </w:rPr>
        <w:footnoteReference w:id="3"/>
      </w:r>
    </w:p>
    <w:p w14:paraId="4888FFC9" w14:textId="77777777" w:rsidR="00DC03DE" w:rsidRDefault="00DC03DE" w:rsidP="00DE6D8F">
      <w:pPr>
        <w:autoSpaceDE w:val="0"/>
        <w:autoSpaceDN w:val="0"/>
        <w:spacing w:after="0" w:line="240" w:lineRule="auto"/>
        <w:jc w:val="center"/>
        <w:textAlignment w:val="baseline"/>
        <w:rPr>
          <w:rFonts w:eastAsia="Calibri" w:cstheme="minorHAnsi"/>
          <w:b/>
          <w:bCs/>
          <w:kern w:val="3"/>
          <w:sz w:val="24"/>
          <w:szCs w:val="24"/>
        </w:rPr>
      </w:pPr>
    </w:p>
    <w:p w14:paraId="4AC9A3A7" w14:textId="77777777" w:rsidR="00DC03DE" w:rsidRDefault="00DC03DE" w:rsidP="00DE6D8F">
      <w:pPr>
        <w:autoSpaceDE w:val="0"/>
        <w:autoSpaceDN w:val="0"/>
        <w:spacing w:after="0" w:line="240" w:lineRule="auto"/>
        <w:jc w:val="center"/>
        <w:textAlignment w:val="baseline"/>
        <w:rPr>
          <w:rFonts w:eastAsia="Calibri" w:cstheme="minorHAnsi"/>
          <w:b/>
          <w:bCs/>
          <w:kern w:val="3"/>
          <w:sz w:val="24"/>
          <w:szCs w:val="24"/>
        </w:rPr>
      </w:pPr>
    </w:p>
    <w:p w14:paraId="34980B25" w14:textId="77777777" w:rsidR="00DE6D8F" w:rsidRPr="003A41B2" w:rsidRDefault="00DE6D8F" w:rsidP="00DE6D8F">
      <w:pPr>
        <w:autoSpaceDE w:val="0"/>
        <w:autoSpaceDN w:val="0"/>
        <w:spacing w:after="0" w:line="240" w:lineRule="auto"/>
        <w:jc w:val="center"/>
        <w:textAlignment w:val="baseline"/>
        <w:rPr>
          <w:rFonts w:eastAsia="Calibri" w:cstheme="minorHAnsi"/>
          <w:b/>
          <w:bCs/>
          <w:kern w:val="3"/>
          <w:sz w:val="24"/>
          <w:szCs w:val="24"/>
        </w:rPr>
      </w:pPr>
      <w:r w:rsidRPr="003A41B2">
        <w:rPr>
          <w:rFonts w:eastAsia="Calibri" w:cstheme="minorHAnsi"/>
          <w:b/>
          <w:bCs/>
          <w:kern w:val="3"/>
          <w:sz w:val="24"/>
          <w:szCs w:val="24"/>
        </w:rPr>
        <w:t xml:space="preserve">Čl. </w:t>
      </w:r>
      <w:r w:rsidR="00806879">
        <w:rPr>
          <w:rFonts w:eastAsia="Calibri" w:cstheme="minorHAnsi"/>
          <w:b/>
          <w:bCs/>
          <w:kern w:val="3"/>
          <w:sz w:val="24"/>
          <w:szCs w:val="24"/>
        </w:rPr>
        <w:t>8</w:t>
      </w:r>
    </w:p>
    <w:p w14:paraId="47F05D3D" w14:textId="77777777" w:rsidR="00DE6D8F" w:rsidRPr="003A41B2" w:rsidRDefault="00DE6D8F" w:rsidP="00DE6D8F">
      <w:pPr>
        <w:autoSpaceDE w:val="0"/>
        <w:autoSpaceDN w:val="0"/>
        <w:spacing w:after="0" w:line="240" w:lineRule="auto"/>
        <w:jc w:val="center"/>
        <w:textAlignment w:val="baseline"/>
        <w:rPr>
          <w:rFonts w:eastAsia="Calibri" w:cstheme="minorHAnsi"/>
          <w:b/>
          <w:bCs/>
          <w:kern w:val="3"/>
          <w:sz w:val="24"/>
          <w:szCs w:val="24"/>
        </w:rPr>
      </w:pPr>
      <w:r w:rsidRPr="003A41B2">
        <w:rPr>
          <w:rFonts w:eastAsia="Calibri" w:cstheme="minorHAnsi"/>
          <w:b/>
          <w:bCs/>
          <w:kern w:val="3"/>
          <w:sz w:val="24"/>
          <w:szCs w:val="24"/>
        </w:rPr>
        <w:t>Závěrečná ustanovení</w:t>
      </w:r>
    </w:p>
    <w:p w14:paraId="6B35BBFB" w14:textId="77777777" w:rsidR="00DE6D8F" w:rsidRPr="003A41B2" w:rsidRDefault="00DE6D8F" w:rsidP="00DE6D8F">
      <w:pPr>
        <w:autoSpaceDE w:val="0"/>
        <w:autoSpaceDN w:val="0"/>
        <w:spacing w:after="0" w:line="240" w:lineRule="auto"/>
        <w:jc w:val="center"/>
        <w:textAlignment w:val="baseline"/>
        <w:rPr>
          <w:rFonts w:eastAsia="Calibri" w:cstheme="minorHAnsi"/>
          <w:b/>
          <w:bCs/>
          <w:kern w:val="3"/>
          <w:sz w:val="24"/>
          <w:szCs w:val="24"/>
        </w:rPr>
      </w:pPr>
    </w:p>
    <w:p w14:paraId="07798FB0" w14:textId="77777777" w:rsidR="00DE6D8F" w:rsidRPr="003A41B2" w:rsidRDefault="00054192" w:rsidP="00DE6D8F">
      <w:pPr>
        <w:numPr>
          <w:ilvl w:val="0"/>
          <w:numId w:val="11"/>
        </w:numPr>
        <w:spacing w:after="0" w:line="240" w:lineRule="auto"/>
        <w:jc w:val="both"/>
        <w:rPr>
          <w:rFonts w:cstheme="minorHAnsi"/>
          <w:sz w:val="24"/>
          <w:szCs w:val="24"/>
        </w:rPr>
      </w:pPr>
      <w:r>
        <w:rPr>
          <w:rFonts w:cstheme="minorHAnsi"/>
          <w:sz w:val="24"/>
          <w:szCs w:val="24"/>
        </w:rPr>
        <w:t>Nabytím účinnosti této vyhlášky se zrušuje obecně závazná vyhláška obce č. PP/02/2014</w:t>
      </w:r>
      <w:r w:rsidR="00797C32">
        <w:rPr>
          <w:rFonts w:cstheme="minorHAnsi"/>
          <w:sz w:val="24"/>
          <w:szCs w:val="24"/>
        </w:rPr>
        <w:t>,</w:t>
      </w:r>
      <w:r>
        <w:rPr>
          <w:rFonts w:cstheme="minorHAnsi"/>
          <w:sz w:val="24"/>
          <w:szCs w:val="24"/>
        </w:rPr>
        <w:t xml:space="preserve"> o stanovení </w:t>
      </w:r>
      <w:r w:rsidR="00DE6D8F" w:rsidRPr="003A41B2">
        <w:rPr>
          <w:rFonts w:cstheme="minorHAnsi"/>
          <w:sz w:val="24"/>
          <w:szCs w:val="24"/>
        </w:rPr>
        <w:t xml:space="preserve">systému shromažďování, sběru, přepravy, třídění, využívání a odstraňování komunálních odpadů na území města </w:t>
      </w:r>
      <w:r>
        <w:rPr>
          <w:rFonts w:cstheme="minorHAnsi"/>
          <w:sz w:val="24"/>
          <w:szCs w:val="24"/>
        </w:rPr>
        <w:t>Velké Hamry</w:t>
      </w:r>
      <w:r w:rsidR="00797C32">
        <w:rPr>
          <w:rFonts w:cstheme="minorHAnsi"/>
          <w:sz w:val="24"/>
          <w:szCs w:val="24"/>
        </w:rPr>
        <w:t>, ze dne 25. 9. 2014</w:t>
      </w:r>
      <w:r w:rsidR="00DE6D8F" w:rsidRPr="003A41B2">
        <w:rPr>
          <w:rFonts w:cstheme="minorHAnsi"/>
          <w:sz w:val="24"/>
          <w:szCs w:val="24"/>
        </w:rPr>
        <w:t>.</w:t>
      </w:r>
    </w:p>
    <w:p w14:paraId="5D89FE05" w14:textId="77777777" w:rsidR="00DE6D8F" w:rsidRPr="003A41B2" w:rsidRDefault="00DE6D8F" w:rsidP="00DE6D8F">
      <w:pPr>
        <w:autoSpaceDE w:val="0"/>
        <w:autoSpaceDN w:val="0"/>
        <w:spacing w:after="0" w:line="240" w:lineRule="auto"/>
        <w:ind w:left="720"/>
        <w:jc w:val="both"/>
        <w:textAlignment w:val="baseline"/>
        <w:rPr>
          <w:rFonts w:eastAsia="Calibri" w:cstheme="minorHAnsi"/>
          <w:kern w:val="3"/>
          <w:sz w:val="24"/>
          <w:szCs w:val="24"/>
        </w:rPr>
      </w:pPr>
    </w:p>
    <w:p w14:paraId="11E2F0AB" w14:textId="77777777" w:rsidR="00DE6D8F" w:rsidRPr="003A41B2" w:rsidRDefault="00DE6D8F" w:rsidP="00DE6D8F">
      <w:pPr>
        <w:numPr>
          <w:ilvl w:val="0"/>
          <w:numId w:val="11"/>
        </w:numPr>
        <w:spacing w:after="0" w:line="240" w:lineRule="auto"/>
        <w:jc w:val="both"/>
        <w:rPr>
          <w:rFonts w:cstheme="minorHAnsi"/>
          <w:sz w:val="24"/>
          <w:szCs w:val="24"/>
        </w:rPr>
      </w:pPr>
      <w:r w:rsidRPr="003A41B2">
        <w:rPr>
          <w:rFonts w:cstheme="minorHAnsi"/>
          <w:sz w:val="24"/>
          <w:szCs w:val="24"/>
        </w:rPr>
        <w:t>Tato vyhláška nabývá účinnosti patnáctým dnem po dni jejího vyhlášení.</w:t>
      </w:r>
    </w:p>
    <w:p w14:paraId="4A378459" w14:textId="77777777" w:rsidR="00DE6D8F" w:rsidRPr="003A41B2" w:rsidRDefault="00DE6D8F" w:rsidP="00DE6D8F">
      <w:pPr>
        <w:autoSpaceDE w:val="0"/>
        <w:autoSpaceDN w:val="0"/>
        <w:spacing w:after="0" w:line="240" w:lineRule="auto"/>
        <w:ind w:left="720"/>
        <w:jc w:val="both"/>
        <w:textAlignment w:val="baseline"/>
        <w:rPr>
          <w:rFonts w:eastAsia="Calibri" w:cstheme="minorHAnsi"/>
          <w:kern w:val="3"/>
          <w:sz w:val="24"/>
          <w:szCs w:val="24"/>
        </w:rPr>
      </w:pPr>
    </w:p>
    <w:p w14:paraId="4EDD14F6" w14:textId="77777777" w:rsidR="00DE6D8F" w:rsidRPr="003A41B2" w:rsidRDefault="00DE6D8F" w:rsidP="00DE6D8F">
      <w:pPr>
        <w:autoSpaceDE w:val="0"/>
        <w:autoSpaceDN w:val="0"/>
        <w:spacing w:after="0" w:line="240" w:lineRule="auto"/>
        <w:jc w:val="both"/>
        <w:textAlignment w:val="baseline"/>
        <w:rPr>
          <w:rFonts w:eastAsia="Calibri" w:cstheme="minorHAnsi"/>
          <w:kern w:val="3"/>
          <w:sz w:val="24"/>
          <w:szCs w:val="24"/>
        </w:rPr>
      </w:pPr>
    </w:p>
    <w:p w14:paraId="1279F7EA" w14:textId="77777777" w:rsidR="00DE6D8F" w:rsidRPr="003A41B2" w:rsidRDefault="00DE6D8F" w:rsidP="00DE6D8F">
      <w:pPr>
        <w:autoSpaceDE w:val="0"/>
        <w:autoSpaceDN w:val="0"/>
        <w:spacing w:after="0" w:line="240" w:lineRule="auto"/>
        <w:jc w:val="both"/>
        <w:textAlignment w:val="baseline"/>
        <w:rPr>
          <w:rFonts w:eastAsia="Calibri" w:cstheme="minorHAnsi"/>
          <w:kern w:val="3"/>
          <w:sz w:val="24"/>
          <w:szCs w:val="24"/>
        </w:rPr>
      </w:pPr>
    </w:p>
    <w:p w14:paraId="6C28779D" w14:textId="77777777" w:rsidR="00DE6D8F" w:rsidRPr="003A41B2" w:rsidRDefault="00DE6D8F" w:rsidP="00DE6D8F">
      <w:pPr>
        <w:autoSpaceDE w:val="0"/>
        <w:autoSpaceDN w:val="0"/>
        <w:spacing w:after="0" w:line="240" w:lineRule="auto"/>
        <w:jc w:val="both"/>
        <w:textAlignment w:val="baseline"/>
        <w:rPr>
          <w:rFonts w:eastAsia="Calibri" w:cstheme="minorHAnsi"/>
          <w:kern w:val="3"/>
          <w:sz w:val="24"/>
          <w:szCs w:val="24"/>
        </w:rPr>
      </w:pPr>
    </w:p>
    <w:p w14:paraId="6781B74C" w14:textId="77777777" w:rsidR="00DE6D8F" w:rsidRPr="003A41B2" w:rsidRDefault="00DE6D8F" w:rsidP="00DE6D8F">
      <w:pPr>
        <w:autoSpaceDE w:val="0"/>
        <w:autoSpaceDN w:val="0"/>
        <w:spacing w:after="0" w:line="240" w:lineRule="auto"/>
        <w:jc w:val="both"/>
        <w:textAlignment w:val="baseline"/>
        <w:rPr>
          <w:rFonts w:eastAsia="Calibri" w:cstheme="minorHAnsi"/>
          <w:kern w:val="3"/>
          <w:sz w:val="24"/>
          <w:szCs w:val="24"/>
        </w:rPr>
      </w:pPr>
      <w:r w:rsidRPr="003A41B2">
        <w:rPr>
          <w:rFonts w:eastAsia="Calibri" w:cstheme="minorHAnsi"/>
          <w:kern w:val="3"/>
          <w:sz w:val="24"/>
          <w:szCs w:val="24"/>
        </w:rPr>
        <w:t xml:space="preserve"> </w:t>
      </w:r>
    </w:p>
    <w:p w14:paraId="7661C2C9" w14:textId="77777777" w:rsidR="00DE6D8F" w:rsidRPr="003A41B2" w:rsidRDefault="00DE6D8F" w:rsidP="00DE6D8F">
      <w:pPr>
        <w:tabs>
          <w:tab w:val="left" w:pos="567"/>
          <w:tab w:val="left" w:pos="6804"/>
        </w:tabs>
        <w:autoSpaceDE w:val="0"/>
        <w:autoSpaceDN w:val="0"/>
        <w:adjustRightInd w:val="0"/>
        <w:spacing w:after="0" w:line="240" w:lineRule="auto"/>
        <w:rPr>
          <w:rFonts w:eastAsia="Times New Roman" w:cstheme="minorHAnsi"/>
          <w:sz w:val="24"/>
          <w:szCs w:val="24"/>
        </w:rPr>
      </w:pPr>
      <w:r w:rsidRPr="003A41B2">
        <w:rPr>
          <w:rFonts w:eastAsia="Times New Roman" w:cstheme="minorHAnsi"/>
          <w:sz w:val="24"/>
          <w:szCs w:val="24"/>
        </w:rPr>
        <w:tab/>
      </w:r>
      <w:r w:rsidR="00054192">
        <w:rPr>
          <w:rFonts w:eastAsia="Times New Roman" w:cstheme="minorHAnsi"/>
          <w:sz w:val="24"/>
          <w:szCs w:val="24"/>
        </w:rPr>
        <w:t>MVDr. Klára Pospíšilová</w:t>
      </w:r>
      <w:r w:rsidRPr="003A41B2">
        <w:rPr>
          <w:rFonts w:eastAsia="Times New Roman" w:cstheme="minorHAnsi"/>
          <w:sz w:val="24"/>
          <w:szCs w:val="24"/>
        </w:rPr>
        <w:t xml:space="preserve"> </w:t>
      </w:r>
      <w:r w:rsidR="002F099E">
        <w:rPr>
          <w:rFonts w:eastAsia="Times New Roman" w:cstheme="minorHAnsi"/>
          <w:sz w:val="24"/>
          <w:szCs w:val="24"/>
        </w:rPr>
        <w:t>v.r.</w:t>
      </w:r>
      <w:r w:rsidRPr="003A41B2">
        <w:rPr>
          <w:rFonts w:eastAsia="Times New Roman" w:cstheme="minorHAnsi"/>
          <w:sz w:val="24"/>
          <w:szCs w:val="24"/>
        </w:rPr>
        <w:t xml:space="preserve"> </w:t>
      </w:r>
      <w:r w:rsidRPr="003A41B2">
        <w:rPr>
          <w:rFonts w:eastAsia="Times New Roman" w:cstheme="minorHAnsi"/>
          <w:sz w:val="24"/>
          <w:szCs w:val="24"/>
        </w:rPr>
        <w:tab/>
        <w:t xml:space="preserve">Ing. Jaroslav Najman </w:t>
      </w:r>
      <w:r w:rsidR="002F099E">
        <w:rPr>
          <w:rFonts w:eastAsia="Times New Roman" w:cstheme="minorHAnsi"/>
          <w:sz w:val="24"/>
          <w:szCs w:val="24"/>
        </w:rPr>
        <w:t>v.r.</w:t>
      </w:r>
    </w:p>
    <w:p w14:paraId="1F7A939B" w14:textId="77777777" w:rsidR="00DE6D8F" w:rsidRPr="003A41B2" w:rsidRDefault="00DE6D8F" w:rsidP="00DE6D8F">
      <w:pPr>
        <w:tabs>
          <w:tab w:val="left" w:pos="851"/>
          <w:tab w:val="left" w:pos="6804"/>
        </w:tabs>
        <w:autoSpaceDE w:val="0"/>
        <w:autoSpaceDN w:val="0"/>
        <w:adjustRightInd w:val="0"/>
        <w:spacing w:after="0" w:line="240" w:lineRule="auto"/>
        <w:rPr>
          <w:rFonts w:eastAsia="Times New Roman" w:cstheme="minorHAnsi"/>
          <w:sz w:val="24"/>
          <w:szCs w:val="24"/>
        </w:rPr>
      </w:pPr>
      <w:r w:rsidRPr="003A41B2">
        <w:rPr>
          <w:rFonts w:eastAsia="Times New Roman" w:cstheme="minorHAnsi"/>
          <w:sz w:val="24"/>
          <w:szCs w:val="24"/>
        </w:rPr>
        <w:t xml:space="preserve">     </w:t>
      </w:r>
      <w:r w:rsidRPr="003A41B2">
        <w:rPr>
          <w:rFonts w:eastAsia="Times New Roman" w:cstheme="minorHAnsi"/>
          <w:sz w:val="24"/>
          <w:szCs w:val="24"/>
        </w:rPr>
        <w:tab/>
        <w:t xml:space="preserve"> místostarost</w:t>
      </w:r>
      <w:r w:rsidR="00054192">
        <w:rPr>
          <w:rFonts w:eastAsia="Times New Roman" w:cstheme="minorHAnsi"/>
          <w:sz w:val="24"/>
          <w:szCs w:val="24"/>
        </w:rPr>
        <w:t>k</w:t>
      </w:r>
      <w:r w:rsidRPr="003A41B2">
        <w:rPr>
          <w:rFonts w:eastAsia="Times New Roman" w:cstheme="minorHAnsi"/>
          <w:sz w:val="24"/>
          <w:szCs w:val="24"/>
        </w:rPr>
        <w:t xml:space="preserve">a      </w:t>
      </w:r>
      <w:r w:rsidRPr="003A41B2">
        <w:rPr>
          <w:rFonts w:eastAsia="Times New Roman" w:cstheme="minorHAnsi"/>
          <w:sz w:val="24"/>
          <w:szCs w:val="24"/>
        </w:rPr>
        <w:tab/>
        <w:t xml:space="preserve">   </w:t>
      </w:r>
      <w:r w:rsidR="002D531C">
        <w:rPr>
          <w:rFonts w:eastAsia="Times New Roman" w:cstheme="minorHAnsi"/>
          <w:sz w:val="24"/>
          <w:szCs w:val="24"/>
        </w:rPr>
        <w:t xml:space="preserve">   </w:t>
      </w:r>
      <w:r w:rsidRPr="003A41B2">
        <w:rPr>
          <w:rFonts w:eastAsia="Times New Roman" w:cstheme="minorHAnsi"/>
          <w:sz w:val="24"/>
          <w:szCs w:val="24"/>
        </w:rPr>
        <w:t xml:space="preserve">   starosta</w:t>
      </w:r>
    </w:p>
    <w:p w14:paraId="3C7D5B14" w14:textId="77777777" w:rsidR="00DE6D8F" w:rsidRPr="003A41B2" w:rsidRDefault="00DE6D8F" w:rsidP="00DE6D8F">
      <w:pPr>
        <w:autoSpaceDE w:val="0"/>
        <w:autoSpaceDN w:val="0"/>
        <w:adjustRightInd w:val="0"/>
        <w:spacing w:after="0" w:line="240" w:lineRule="auto"/>
        <w:rPr>
          <w:rFonts w:eastAsia="Times New Roman" w:cstheme="minorHAnsi"/>
          <w:sz w:val="24"/>
          <w:szCs w:val="24"/>
        </w:rPr>
      </w:pPr>
      <w:r w:rsidRPr="003A41B2">
        <w:rPr>
          <w:rFonts w:eastAsia="Times New Roman" w:cstheme="minorHAnsi"/>
          <w:sz w:val="24"/>
          <w:szCs w:val="24"/>
        </w:rPr>
        <w:t xml:space="preserve">        </w:t>
      </w:r>
      <w:r w:rsidRPr="003A41B2">
        <w:rPr>
          <w:rFonts w:eastAsia="Times New Roman" w:cstheme="minorHAnsi"/>
          <w:sz w:val="24"/>
          <w:szCs w:val="24"/>
        </w:rPr>
        <w:tab/>
      </w:r>
    </w:p>
    <w:p w14:paraId="301BE9D4" w14:textId="77777777" w:rsidR="008D1E98" w:rsidRPr="003A41B2" w:rsidRDefault="008D1E98" w:rsidP="00DE6D8F">
      <w:pPr>
        <w:spacing w:after="0" w:line="240" w:lineRule="auto"/>
        <w:jc w:val="both"/>
        <w:rPr>
          <w:rFonts w:eastAsia="Times New Roman" w:cstheme="minorHAnsi"/>
          <w:sz w:val="24"/>
          <w:szCs w:val="24"/>
        </w:rPr>
      </w:pPr>
    </w:p>
    <w:p w14:paraId="39E64282" w14:textId="77777777" w:rsidR="00DE6D8F" w:rsidRPr="003A41B2" w:rsidRDefault="00DE6D8F" w:rsidP="00DE6D8F">
      <w:pPr>
        <w:spacing w:after="0" w:line="240" w:lineRule="auto"/>
        <w:jc w:val="both"/>
        <w:rPr>
          <w:rFonts w:eastAsia="Times New Roman" w:cstheme="minorHAnsi"/>
          <w:sz w:val="24"/>
          <w:szCs w:val="24"/>
        </w:rPr>
      </w:pPr>
      <w:r w:rsidRPr="003A41B2">
        <w:rPr>
          <w:rFonts w:eastAsia="Times New Roman" w:cstheme="minorHAnsi"/>
          <w:sz w:val="24"/>
          <w:szCs w:val="24"/>
        </w:rPr>
        <w:t xml:space="preserve">Vyvěšeno na úřední desce městského úřadu dne: </w:t>
      </w:r>
      <w:r w:rsidR="002F099E">
        <w:rPr>
          <w:rFonts w:eastAsia="Times New Roman" w:cstheme="minorHAnsi"/>
          <w:sz w:val="24"/>
          <w:szCs w:val="24"/>
        </w:rPr>
        <w:t>4.10.2021</w:t>
      </w:r>
    </w:p>
    <w:p w14:paraId="51923C8F" w14:textId="77777777" w:rsidR="00DE6D8F" w:rsidRPr="003A41B2" w:rsidRDefault="00DE6D8F" w:rsidP="00DE6D8F">
      <w:pPr>
        <w:tabs>
          <w:tab w:val="left" w:pos="1080"/>
          <w:tab w:val="left" w:pos="7020"/>
        </w:tabs>
        <w:spacing w:after="0" w:line="240" w:lineRule="auto"/>
        <w:rPr>
          <w:rFonts w:eastAsia="Times New Roman" w:cstheme="minorHAnsi"/>
          <w:sz w:val="24"/>
          <w:szCs w:val="24"/>
        </w:rPr>
      </w:pPr>
    </w:p>
    <w:p w14:paraId="722A10CA" w14:textId="77777777" w:rsidR="00DE6D8F" w:rsidRPr="003A41B2" w:rsidRDefault="00DE6D8F" w:rsidP="00240815">
      <w:pPr>
        <w:tabs>
          <w:tab w:val="left" w:pos="1080"/>
          <w:tab w:val="left" w:pos="4820"/>
        </w:tabs>
        <w:spacing w:after="0" w:line="240" w:lineRule="auto"/>
        <w:rPr>
          <w:rFonts w:eastAsia="Times New Roman" w:cstheme="minorHAnsi"/>
          <w:sz w:val="24"/>
          <w:szCs w:val="24"/>
        </w:rPr>
      </w:pPr>
      <w:r w:rsidRPr="003A41B2">
        <w:rPr>
          <w:rFonts w:eastAsia="Times New Roman" w:cstheme="minorHAnsi"/>
          <w:sz w:val="24"/>
          <w:szCs w:val="24"/>
        </w:rPr>
        <w:t xml:space="preserve">Sejmuto z úřední desky městského úřadu </w:t>
      </w:r>
      <w:proofErr w:type="gramStart"/>
      <w:r w:rsidRPr="003A41B2">
        <w:rPr>
          <w:rFonts w:eastAsia="Times New Roman" w:cstheme="minorHAnsi"/>
          <w:sz w:val="24"/>
          <w:szCs w:val="24"/>
        </w:rPr>
        <w:t xml:space="preserve">dne:   </w:t>
      </w:r>
      <w:proofErr w:type="gramEnd"/>
      <w:r w:rsidRPr="003A41B2">
        <w:rPr>
          <w:rFonts w:eastAsia="Times New Roman" w:cstheme="minorHAnsi"/>
          <w:sz w:val="24"/>
          <w:szCs w:val="24"/>
        </w:rPr>
        <w:t xml:space="preserve"> </w:t>
      </w:r>
      <w:r w:rsidR="00240815">
        <w:rPr>
          <w:rFonts w:eastAsia="Times New Roman" w:cstheme="minorHAnsi"/>
          <w:sz w:val="24"/>
          <w:szCs w:val="24"/>
        </w:rPr>
        <w:tab/>
        <w:t>20.10.2021</w:t>
      </w:r>
      <w:r w:rsidR="00240815">
        <w:rPr>
          <w:rFonts w:eastAsia="Times New Roman" w:cstheme="minorHAnsi"/>
          <w:sz w:val="24"/>
          <w:szCs w:val="24"/>
        </w:rPr>
        <w:tab/>
      </w:r>
    </w:p>
    <w:p w14:paraId="52D3033A" w14:textId="77777777" w:rsidR="00DE6D8F" w:rsidRPr="003A41B2" w:rsidRDefault="00DE6D8F" w:rsidP="00DE6D8F">
      <w:pPr>
        <w:rPr>
          <w:rFonts w:eastAsia="Calibri" w:cstheme="minorHAnsi"/>
          <w:kern w:val="3"/>
          <w:sz w:val="24"/>
          <w:szCs w:val="24"/>
        </w:rPr>
      </w:pPr>
      <w:r w:rsidRPr="003A41B2">
        <w:rPr>
          <w:rFonts w:eastAsia="Calibri" w:cstheme="minorHAnsi"/>
          <w:kern w:val="3"/>
          <w:sz w:val="24"/>
          <w:szCs w:val="24"/>
        </w:rPr>
        <w:br w:type="page"/>
      </w:r>
    </w:p>
    <w:p w14:paraId="042FAD01" w14:textId="77777777" w:rsidR="00DE6D8F" w:rsidRPr="00F66604" w:rsidRDefault="00DE6D8F" w:rsidP="00DE6D8F">
      <w:pPr>
        <w:tabs>
          <w:tab w:val="left" w:pos="1080"/>
          <w:tab w:val="left" w:pos="7020"/>
        </w:tabs>
        <w:spacing w:after="0" w:line="240" w:lineRule="auto"/>
        <w:jc w:val="center"/>
        <w:rPr>
          <w:rFonts w:eastAsia="Times New Roman" w:cstheme="minorHAnsi"/>
          <w:b/>
          <w:i/>
          <w:sz w:val="24"/>
          <w:szCs w:val="24"/>
        </w:rPr>
      </w:pPr>
      <w:r w:rsidRPr="00F66604">
        <w:rPr>
          <w:rFonts w:eastAsia="Times New Roman" w:cstheme="minorHAnsi"/>
          <w:b/>
          <w:i/>
          <w:sz w:val="24"/>
          <w:szCs w:val="24"/>
        </w:rPr>
        <w:lastRenderedPageBreak/>
        <w:t>Příloha č. 1</w:t>
      </w:r>
    </w:p>
    <w:p w14:paraId="340CA62D" w14:textId="77777777" w:rsidR="00DE6D8F" w:rsidRPr="00F66604" w:rsidRDefault="00DE6D8F" w:rsidP="00DE6D8F">
      <w:pPr>
        <w:tabs>
          <w:tab w:val="left" w:pos="1080"/>
          <w:tab w:val="left" w:pos="7020"/>
        </w:tabs>
        <w:spacing w:after="0" w:line="240" w:lineRule="auto"/>
        <w:jc w:val="center"/>
        <w:rPr>
          <w:rFonts w:eastAsia="Times New Roman" w:cstheme="minorHAnsi"/>
          <w:b/>
          <w:sz w:val="24"/>
          <w:szCs w:val="24"/>
        </w:rPr>
      </w:pPr>
      <w:r w:rsidRPr="00F66604">
        <w:rPr>
          <w:rFonts w:eastAsia="Times New Roman" w:cstheme="minorHAnsi"/>
          <w:b/>
          <w:i/>
          <w:sz w:val="24"/>
          <w:szCs w:val="24"/>
        </w:rPr>
        <w:t xml:space="preserve">k obecně závazné vyhlášce </w:t>
      </w:r>
      <w:r w:rsidRPr="00F66604">
        <w:rPr>
          <w:rFonts w:eastAsia="Times New Roman" w:cstheme="minorHAnsi"/>
          <w:b/>
          <w:sz w:val="24"/>
          <w:szCs w:val="24"/>
        </w:rPr>
        <w:t>č. PP/0</w:t>
      </w:r>
      <w:r w:rsidR="00A228F3">
        <w:rPr>
          <w:rFonts w:eastAsia="Times New Roman" w:cstheme="minorHAnsi"/>
          <w:b/>
          <w:sz w:val="24"/>
          <w:szCs w:val="24"/>
        </w:rPr>
        <w:t>4</w:t>
      </w:r>
      <w:r w:rsidRPr="00F66604">
        <w:rPr>
          <w:rFonts w:eastAsia="Times New Roman" w:cstheme="minorHAnsi"/>
          <w:b/>
          <w:sz w:val="24"/>
          <w:szCs w:val="24"/>
        </w:rPr>
        <w:t>/20</w:t>
      </w:r>
      <w:r w:rsidR="00A228F3">
        <w:rPr>
          <w:rFonts w:eastAsia="Times New Roman" w:cstheme="minorHAnsi"/>
          <w:b/>
          <w:sz w:val="24"/>
          <w:szCs w:val="24"/>
        </w:rPr>
        <w:t>21</w:t>
      </w:r>
    </w:p>
    <w:p w14:paraId="644FE9A2" w14:textId="77777777" w:rsidR="00DE6D8F" w:rsidRPr="00F66604" w:rsidRDefault="00DE6D8F" w:rsidP="00DE6D8F">
      <w:pPr>
        <w:tabs>
          <w:tab w:val="left" w:pos="1080"/>
          <w:tab w:val="left" w:pos="7020"/>
        </w:tabs>
        <w:spacing w:after="0" w:line="240" w:lineRule="auto"/>
        <w:rPr>
          <w:rFonts w:eastAsia="Times New Roman" w:cstheme="minorHAnsi"/>
          <w:sz w:val="24"/>
          <w:szCs w:val="24"/>
        </w:rPr>
      </w:pPr>
    </w:p>
    <w:p w14:paraId="68C2CB28" w14:textId="77777777" w:rsidR="00DE6D8F" w:rsidRPr="00F66604" w:rsidRDefault="00DE6D8F" w:rsidP="00DE6D8F">
      <w:pPr>
        <w:spacing w:after="0" w:line="240" w:lineRule="auto"/>
        <w:jc w:val="center"/>
        <w:rPr>
          <w:rFonts w:cstheme="minorHAnsi"/>
          <w:b/>
        </w:rPr>
      </w:pPr>
      <w:r w:rsidRPr="00F66604">
        <w:rPr>
          <w:rFonts w:cstheme="minorHAnsi"/>
          <w:b/>
        </w:rPr>
        <w:t>Stanoviště a počet zvláštních sběrných nádob na tříděný odpad na jednotlivých stanovištích</w:t>
      </w:r>
    </w:p>
    <w:p w14:paraId="13F8BF89" w14:textId="77777777" w:rsidR="00DE6D8F" w:rsidRPr="00F66604" w:rsidRDefault="00806879" w:rsidP="00806879">
      <w:pPr>
        <w:tabs>
          <w:tab w:val="left" w:pos="7905"/>
        </w:tabs>
        <w:spacing w:after="0" w:line="240" w:lineRule="auto"/>
        <w:rPr>
          <w:rFonts w:cstheme="minorHAnsi"/>
          <w:b/>
        </w:rPr>
      </w:pPr>
      <w:r>
        <w:rPr>
          <w:rFonts w:cstheme="minorHAnsi"/>
          <w:b/>
        </w:rPr>
        <w:tab/>
      </w:r>
    </w:p>
    <w:tbl>
      <w:tblPr>
        <w:tblStyle w:val="Mkatabulky"/>
        <w:tblW w:w="10228" w:type="dxa"/>
        <w:tblLayout w:type="fixed"/>
        <w:tblLook w:val="04A0" w:firstRow="1" w:lastRow="0" w:firstColumn="1" w:lastColumn="0" w:noHBand="0" w:noVBand="1"/>
      </w:tblPr>
      <w:tblGrid>
        <w:gridCol w:w="2660"/>
        <w:gridCol w:w="1276"/>
        <w:gridCol w:w="1559"/>
        <w:gridCol w:w="1701"/>
        <w:gridCol w:w="1559"/>
        <w:gridCol w:w="1473"/>
      </w:tblGrid>
      <w:tr w:rsidR="00DE6D8F" w:rsidRPr="00F66604" w14:paraId="435CF7FC" w14:textId="77777777" w:rsidTr="00806879">
        <w:trPr>
          <w:trHeight w:val="793"/>
        </w:trPr>
        <w:tc>
          <w:tcPr>
            <w:tcW w:w="2660" w:type="dxa"/>
            <w:noWrap/>
            <w:vAlign w:val="center"/>
            <w:hideMark/>
          </w:tcPr>
          <w:p w14:paraId="48D8A3DD" w14:textId="77777777" w:rsidR="00DE6D8F" w:rsidRPr="00F66604" w:rsidRDefault="00DE6D8F" w:rsidP="00DE6D8F">
            <w:pPr>
              <w:rPr>
                <w:rFonts w:cstheme="minorHAnsi"/>
                <w:b/>
                <w:color w:val="000000"/>
              </w:rPr>
            </w:pPr>
            <w:r w:rsidRPr="00F66604">
              <w:rPr>
                <w:rFonts w:cstheme="minorHAnsi"/>
                <w:b/>
                <w:color w:val="000000"/>
              </w:rPr>
              <w:t>Stanoviště</w:t>
            </w:r>
          </w:p>
        </w:tc>
        <w:tc>
          <w:tcPr>
            <w:tcW w:w="1276" w:type="dxa"/>
            <w:shd w:val="clear" w:color="auto" w:fill="CCFFFF"/>
            <w:noWrap/>
            <w:vAlign w:val="center"/>
            <w:hideMark/>
          </w:tcPr>
          <w:p w14:paraId="3A133EDC" w14:textId="77777777" w:rsidR="00DE6D8F" w:rsidRPr="00F66604" w:rsidRDefault="00DE6D8F" w:rsidP="00DE6D8F">
            <w:pPr>
              <w:jc w:val="center"/>
              <w:rPr>
                <w:rFonts w:cstheme="minorHAnsi"/>
                <w:b/>
                <w:i/>
                <w:color w:val="000000"/>
              </w:rPr>
            </w:pPr>
            <w:r w:rsidRPr="00F66604">
              <w:rPr>
                <w:rFonts w:cstheme="minorHAnsi"/>
                <w:b/>
                <w:color w:val="000000"/>
              </w:rPr>
              <w:t>Papír</w:t>
            </w:r>
          </w:p>
        </w:tc>
        <w:tc>
          <w:tcPr>
            <w:tcW w:w="1559" w:type="dxa"/>
            <w:shd w:val="clear" w:color="auto" w:fill="CCFF99"/>
            <w:noWrap/>
            <w:vAlign w:val="center"/>
            <w:hideMark/>
          </w:tcPr>
          <w:p w14:paraId="0F5F5524" w14:textId="77777777" w:rsidR="00DE6D8F" w:rsidRPr="00F66604" w:rsidRDefault="00DE6D8F" w:rsidP="00DE6D8F">
            <w:pPr>
              <w:jc w:val="center"/>
              <w:rPr>
                <w:rFonts w:cstheme="minorHAnsi"/>
                <w:b/>
                <w:color w:val="000000"/>
              </w:rPr>
            </w:pPr>
            <w:r w:rsidRPr="00F66604">
              <w:rPr>
                <w:rFonts w:cstheme="minorHAnsi"/>
                <w:b/>
                <w:color w:val="000000"/>
              </w:rPr>
              <w:t xml:space="preserve">Sklo </w:t>
            </w:r>
          </w:p>
        </w:tc>
        <w:tc>
          <w:tcPr>
            <w:tcW w:w="1701" w:type="dxa"/>
            <w:shd w:val="clear" w:color="auto" w:fill="FFFF00"/>
            <w:noWrap/>
            <w:vAlign w:val="center"/>
            <w:hideMark/>
          </w:tcPr>
          <w:p w14:paraId="57520A09" w14:textId="77777777" w:rsidR="00DE6D8F" w:rsidRPr="00F66604" w:rsidRDefault="00F66604" w:rsidP="00DE6D8F">
            <w:pPr>
              <w:jc w:val="center"/>
              <w:rPr>
                <w:rFonts w:cstheme="minorHAnsi"/>
                <w:b/>
                <w:color w:val="000000"/>
              </w:rPr>
            </w:pPr>
            <w:r w:rsidRPr="00F66604">
              <w:rPr>
                <w:rFonts w:cstheme="minorHAnsi"/>
                <w:b/>
                <w:color w:val="000000"/>
              </w:rPr>
              <w:t>Plasty včetně PET lahví, kovy, nápojové kartony</w:t>
            </w:r>
            <w:r w:rsidR="00A228F3">
              <w:rPr>
                <w:rStyle w:val="Znakapoznpodarou"/>
                <w:rFonts w:cstheme="minorHAnsi"/>
                <w:b/>
                <w:color w:val="000000"/>
              </w:rPr>
              <w:footnoteReference w:id="4"/>
            </w:r>
          </w:p>
        </w:tc>
        <w:tc>
          <w:tcPr>
            <w:tcW w:w="1559" w:type="dxa"/>
            <w:shd w:val="clear" w:color="auto" w:fill="FBD4B4" w:themeFill="accent6" w:themeFillTint="66"/>
            <w:vAlign w:val="center"/>
          </w:tcPr>
          <w:p w14:paraId="0157F1CF" w14:textId="77777777" w:rsidR="00DE6D8F" w:rsidRPr="00F66604" w:rsidRDefault="00F66604" w:rsidP="00DE6D8F">
            <w:pPr>
              <w:jc w:val="center"/>
              <w:rPr>
                <w:rFonts w:cstheme="minorHAnsi"/>
                <w:b/>
                <w:color w:val="000000"/>
              </w:rPr>
            </w:pPr>
            <w:r w:rsidRPr="00F66604">
              <w:rPr>
                <w:rFonts w:cstheme="minorHAnsi"/>
                <w:b/>
                <w:color w:val="000000"/>
              </w:rPr>
              <w:t>Bio</w:t>
            </w:r>
            <w:r w:rsidR="00797C32">
              <w:rPr>
                <w:rFonts w:cstheme="minorHAnsi"/>
                <w:b/>
                <w:color w:val="000000"/>
              </w:rPr>
              <w:t>logické od</w:t>
            </w:r>
            <w:r w:rsidRPr="00F66604">
              <w:rPr>
                <w:rFonts w:cstheme="minorHAnsi"/>
                <w:b/>
                <w:color w:val="000000"/>
              </w:rPr>
              <w:t>pad</w:t>
            </w:r>
            <w:r w:rsidR="00797C32">
              <w:rPr>
                <w:rFonts w:cstheme="minorHAnsi"/>
                <w:b/>
                <w:color w:val="000000"/>
              </w:rPr>
              <w:t>y</w:t>
            </w:r>
          </w:p>
        </w:tc>
        <w:tc>
          <w:tcPr>
            <w:tcW w:w="1473" w:type="dxa"/>
            <w:shd w:val="clear" w:color="auto" w:fill="BFBFBF" w:themeFill="background1" w:themeFillShade="BF"/>
            <w:vAlign w:val="center"/>
          </w:tcPr>
          <w:p w14:paraId="25E45350" w14:textId="77777777" w:rsidR="00DE6D8F" w:rsidRPr="00F66604" w:rsidRDefault="00797C32" w:rsidP="00797C32">
            <w:pPr>
              <w:jc w:val="center"/>
              <w:rPr>
                <w:rFonts w:cstheme="minorHAnsi"/>
                <w:b/>
                <w:color w:val="000000"/>
              </w:rPr>
            </w:pPr>
            <w:r>
              <w:rPr>
                <w:rFonts w:cstheme="minorHAnsi"/>
                <w:b/>
                <w:color w:val="000000"/>
              </w:rPr>
              <w:t>Jedlé o</w:t>
            </w:r>
            <w:r w:rsidR="00F66604" w:rsidRPr="00F66604">
              <w:rPr>
                <w:rFonts w:cstheme="minorHAnsi"/>
                <w:b/>
                <w:color w:val="000000"/>
              </w:rPr>
              <w:t>leje a tuky</w:t>
            </w:r>
          </w:p>
        </w:tc>
      </w:tr>
      <w:tr w:rsidR="00F66604" w:rsidRPr="00F66604" w14:paraId="4E7112CE" w14:textId="77777777" w:rsidTr="00806879">
        <w:trPr>
          <w:trHeight w:val="410"/>
        </w:trPr>
        <w:tc>
          <w:tcPr>
            <w:tcW w:w="2660" w:type="dxa"/>
            <w:noWrap/>
            <w:vAlign w:val="center"/>
          </w:tcPr>
          <w:p w14:paraId="60A24E4E" w14:textId="77777777" w:rsidR="00F66604" w:rsidRPr="00A228F3" w:rsidRDefault="00F66604" w:rsidP="00DE6D8F">
            <w:pPr>
              <w:rPr>
                <w:rFonts w:cstheme="minorHAnsi"/>
                <w:sz w:val="20"/>
                <w:szCs w:val="20"/>
              </w:rPr>
            </w:pPr>
            <w:r w:rsidRPr="00A228F3">
              <w:rPr>
                <w:rFonts w:cstheme="minorHAnsi"/>
                <w:sz w:val="20"/>
                <w:szCs w:val="20"/>
              </w:rPr>
              <w:t>Sběrný dvůr</w:t>
            </w:r>
          </w:p>
        </w:tc>
        <w:tc>
          <w:tcPr>
            <w:tcW w:w="1276" w:type="dxa"/>
            <w:shd w:val="clear" w:color="auto" w:fill="CCFFFF"/>
            <w:noWrap/>
            <w:vAlign w:val="center"/>
          </w:tcPr>
          <w:p w14:paraId="4DA30111" w14:textId="77777777" w:rsidR="00F66604" w:rsidRPr="00F66604" w:rsidRDefault="00F66604" w:rsidP="00DE6D8F">
            <w:pPr>
              <w:jc w:val="center"/>
              <w:rPr>
                <w:rFonts w:cstheme="minorHAnsi"/>
                <w:i/>
              </w:rPr>
            </w:pPr>
            <w:r>
              <w:rPr>
                <w:rFonts w:cstheme="minorHAnsi"/>
                <w:i/>
              </w:rPr>
              <w:t>1</w:t>
            </w:r>
          </w:p>
        </w:tc>
        <w:tc>
          <w:tcPr>
            <w:tcW w:w="1559" w:type="dxa"/>
            <w:shd w:val="clear" w:color="auto" w:fill="CCFF99"/>
            <w:noWrap/>
            <w:vAlign w:val="center"/>
          </w:tcPr>
          <w:p w14:paraId="016CD740" w14:textId="77777777" w:rsidR="00F66604" w:rsidRPr="00F66604" w:rsidRDefault="00F66604" w:rsidP="00DE6D8F">
            <w:pPr>
              <w:jc w:val="center"/>
              <w:rPr>
                <w:rFonts w:cstheme="minorHAnsi"/>
                <w:i/>
              </w:rPr>
            </w:pPr>
            <w:r>
              <w:rPr>
                <w:rFonts w:cstheme="minorHAnsi"/>
                <w:i/>
              </w:rPr>
              <w:t>1</w:t>
            </w:r>
          </w:p>
        </w:tc>
        <w:tc>
          <w:tcPr>
            <w:tcW w:w="1701" w:type="dxa"/>
            <w:shd w:val="clear" w:color="auto" w:fill="FFFF00"/>
            <w:noWrap/>
            <w:vAlign w:val="center"/>
          </w:tcPr>
          <w:p w14:paraId="478A5F35" w14:textId="77777777" w:rsidR="00F66604" w:rsidRPr="00F66604" w:rsidRDefault="00F66604" w:rsidP="00DE6D8F">
            <w:pPr>
              <w:jc w:val="center"/>
              <w:rPr>
                <w:rFonts w:cstheme="minorHAnsi"/>
                <w:i/>
              </w:rPr>
            </w:pPr>
            <w:r>
              <w:rPr>
                <w:rFonts w:cstheme="minorHAnsi"/>
                <w:i/>
              </w:rPr>
              <w:t>1</w:t>
            </w:r>
          </w:p>
        </w:tc>
        <w:tc>
          <w:tcPr>
            <w:tcW w:w="1559" w:type="dxa"/>
            <w:shd w:val="clear" w:color="auto" w:fill="FBD4B4" w:themeFill="accent6" w:themeFillTint="66"/>
            <w:vAlign w:val="center"/>
          </w:tcPr>
          <w:p w14:paraId="22734D7F" w14:textId="77777777" w:rsidR="00F66604" w:rsidRPr="00F66604" w:rsidRDefault="00F66604" w:rsidP="00DE6D8F">
            <w:pPr>
              <w:jc w:val="center"/>
              <w:rPr>
                <w:rFonts w:cstheme="minorHAnsi"/>
                <w:i/>
              </w:rPr>
            </w:pPr>
            <w:r>
              <w:rPr>
                <w:rFonts w:cstheme="minorHAnsi"/>
                <w:i/>
              </w:rPr>
              <w:t>1</w:t>
            </w:r>
          </w:p>
        </w:tc>
        <w:tc>
          <w:tcPr>
            <w:tcW w:w="1473" w:type="dxa"/>
            <w:shd w:val="clear" w:color="auto" w:fill="BFBFBF" w:themeFill="background1" w:themeFillShade="BF"/>
            <w:vAlign w:val="center"/>
          </w:tcPr>
          <w:p w14:paraId="3C70CCE4" w14:textId="77777777" w:rsidR="00F66604" w:rsidRPr="00F66604" w:rsidRDefault="00F66604" w:rsidP="00DE6D8F">
            <w:pPr>
              <w:jc w:val="center"/>
              <w:rPr>
                <w:rFonts w:cstheme="minorHAnsi"/>
                <w:i/>
              </w:rPr>
            </w:pPr>
            <w:r>
              <w:rPr>
                <w:rFonts w:cstheme="minorHAnsi"/>
                <w:i/>
              </w:rPr>
              <w:t>1</w:t>
            </w:r>
          </w:p>
        </w:tc>
      </w:tr>
      <w:tr w:rsidR="00A228F3" w:rsidRPr="00F66604" w14:paraId="2FC4F9DD" w14:textId="77777777" w:rsidTr="00806879">
        <w:trPr>
          <w:trHeight w:val="410"/>
        </w:trPr>
        <w:tc>
          <w:tcPr>
            <w:tcW w:w="2660" w:type="dxa"/>
            <w:noWrap/>
            <w:vAlign w:val="center"/>
          </w:tcPr>
          <w:p w14:paraId="62EB49B7" w14:textId="77777777" w:rsidR="00A228F3" w:rsidRPr="00A228F3" w:rsidRDefault="00A228F3" w:rsidP="00DE6D8F">
            <w:pPr>
              <w:rPr>
                <w:rFonts w:cstheme="minorHAnsi"/>
                <w:sz w:val="20"/>
                <w:szCs w:val="20"/>
              </w:rPr>
            </w:pPr>
            <w:r w:rsidRPr="00A228F3">
              <w:rPr>
                <w:rFonts w:cstheme="minorHAnsi"/>
                <w:sz w:val="20"/>
                <w:szCs w:val="20"/>
              </w:rPr>
              <w:t>Náměstí</w:t>
            </w:r>
          </w:p>
        </w:tc>
        <w:tc>
          <w:tcPr>
            <w:tcW w:w="1276" w:type="dxa"/>
            <w:shd w:val="clear" w:color="auto" w:fill="CCFFFF"/>
            <w:noWrap/>
            <w:vAlign w:val="center"/>
          </w:tcPr>
          <w:p w14:paraId="7777EC5C" w14:textId="77777777" w:rsidR="00A228F3" w:rsidRDefault="00A228F3" w:rsidP="00DE6D8F">
            <w:pPr>
              <w:jc w:val="center"/>
              <w:rPr>
                <w:rFonts w:cstheme="minorHAnsi"/>
                <w:i/>
              </w:rPr>
            </w:pPr>
            <w:r>
              <w:rPr>
                <w:rFonts w:cstheme="minorHAnsi"/>
                <w:i/>
              </w:rPr>
              <w:t>1</w:t>
            </w:r>
          </w:p>
        </w:tc>
        <w:tc>
          <w:tcPr>
            <w:tcW w:w="1559" w:type="dxa"/>
            <w:shd w:val="clear" w:color="auto" w:fill="CCFF99"/>
            <w:noWrap/>
            <w:vAlign w:val="center"/>
          </w:tcPr>
          <w:p w14:paraId="4EB3816D" w14:textId="77777777" w:rsidR="00A228F3" w:rsidRDefault="00A228F3" w:rsidP="00DE6D8F">
            <w:pPr>
              <w:jc w:val="center"/>
              <w:rPr>
                <w:rFonts w:cstheme="minorHAnsi"/>
                <w:i/>
              </w:rPr>
            </w:pPr>
            <w:r>
              <w:rPr>
                <w:rFonts w:cstheme="minorHAnsi"/>
                <w:i/>
              </w:rPr>
              <w:t>1</w:t>
            </w:r>
          </w:p>
        </w:tc>
        <w:tc>
          <w:tcPr>
            <w:tcW w:w="1701" w:type="dxa"/>
            <w:shd w:val="clear" w:color="auto" w:fill="FFFF00"/>
            <w:noWrap/>
            <w:vAlign w:val="center"/>
          </w:tcPr>
          <w:p w14:paraId="5779241D" w14:textId="77777777" w:rsidR="00A228F3" w:rsidRPr="00F66604" w:rsidRDefault="00A228F3" w:rsidP="00DE6D8F">
            <w:pPr>
              <w:jc w:val="center"/>
              <w:rPr>
                <w:rFonts w:cstheme="minorHAnsi"/>
                <w:i/>
              </w:rPr>
            </w:pPr>
            <w:r>
              <w:rPr>
                <w:rFonts w:cstheme="minorHAnsi"/>
                <w:i/>
              </w:rPr>
              <w:t>1</w:t>
            </w:r>
          </w:p>
        </w:tc>
        <w:tc>
          <w:tcPr>
            <w:tcW w:w="1559" w:type="dxa"/>
            <w:shd w:val="clear" w:color="auto" w:fill="FBD4B4" w:themeFill="accent6" w:themeFillTint="66"/>
            <w:vAlign w:val="center"/>
          </w:tcPr>
          <w:p w14:paraId="5D6B4D7E" w14:textId="77777777" w:rsidR="00A228F3" w:rsidRPr="00F66604" w:rsidRDefault="00A228F3" w:rsidP="00DE6D8F">
            <w:pPr>
              <w:jc w:val="center"/>
              <w:rPr>
                <w:rFonts w:cstheme="minorHAnsi"/>
                <w:i/>
              </w:rPr>
            </w:pPr>
          </w:p>
        </w:tc>
        <w:tc>
          <w:tcPr>
            <w:tcW w:w="1473" w:type="dxa"/>
            <w:shd w:val="clear" w:color="auto" w:fill="BFBFBF" w:themeFill="background1" w:themeFillShade="BF"/>
            <w:vAlign w:val="center"/>
          </w:tcPr>
          <w:p w14:paraId="7888B642" w14:textId="77777777" w:rsidR="00A228F3" w:rsidRPr="00F66604" w:rsidRDefault="00A228F3" w:rsidP="00DE6D8F">
            <w:pPr>
              <w:jc w:val="center"/>
              <w:rPr>
                <w:rFonts w:cstheme="minorHAnsi"/>
                <w:i/>
              </w:rPr>
            </w:pPr>
          </w:p>
        </w:tc>
      </w:tr>
      <w:tr w:rsidR="00DE6D8F" w:rsidRPr="00F66604" w14:paraId="7D45E2EA" w14:textId="77777777" w:rsidTr="00806879">
        <w:trPr>
          <w:trHeight w:val="410"/>
        </w:trPr>
        <w:tc>
          <w:tcPr>
            <w:tcW w:w="2660" w:type="dxa"/>
            <w:noWrap/>
            <w:vAlign w:val="center"/>
            <w:hideMark/>
          </w:tcPr>
          <w:p w14:paraId="32B25EBD" w14:textId="77777777" w:rsidR="00DE6D8F" w:rsidRPr="00A228F3" w:rsidRDefault="00DE6D8F" w:rsidP="00DE6D8F">
            <w:pPr>
              <w:rPr>
                <w:rFonts w:cstheme="minorHAnsi"/>
                <w:sz w:val="20"/>
                <w:szCs w:val="20"/>
              </w:rPr>
            </w:pPr>
            <w:r w:rsidRPr="00A228F3">
              <w:rPr>
                <w:rFonts w:cstheme="minorHAnsi"/>
                <w:sz w:val="20"/>
                <w:szCs w:val="20"/>
              </w:rPr>
              <w:t>Sídliště Velké Hamry u zdravotního střediska</w:t>
            </w:r>
            <w:r w:rsidR="00A228F3" w:rsidRPr="00A228F3">
              <w:rPr>
                <w:rFonts w:cstheme="minorHAnsi"/>
                <w:sz w:val="20"/>
                <w:szCs w:val="20"/>
              </w:rPr>
              <w:t xml:space="preserve"> (u č.p. 605)</w:t>
            </w:r>
          </w:p>
        </w:tc>
        <w:tc>
          <w:tcPr>
            <w:tcW w:w="1276" w:type="dxa"/>
            <w:shd w:val="clear" w:color="auto" w:fill="CCFFFF"/>
            <w:noWrap/>
            <w:vAlign w:val="center"/>
            <w:hideMark/>
          </w:tcPr>
          <w:p w14:paraId="7FE94F20" w14:textId="77777777" w:rsidR="00DE6D8F" w:rsidRPr="00F66604" w:rsidRDefault="00A228F3" w:rsidP="00DE6D8F">
            <w:pPr>
              <w:jc w:val="center"/>
              <w:rPr>
                <w:rFonts w:cstheme="minorHAnsi"/>
                <w:i/>
              </w:rPr>
            </w:pPr>
            <w:r>
              <w:rPr>
                <w:rFonts w:cstheme="minorHAnsi"/>
                <w:i/>
              </w:rPr>
              <w:t>2</w:t>
            </w:r>
          </w:p>
        </w:tc>
        <w:tc>
          <w:tcPr>
            <w:tcW w:w="1559" w:type="dxa"/>
            <w:shd w:val="clear" w:color="auto" w:fill="CCFF99"/>
            <w:noWrap/>
            <w:vAlign w:val="center"/>
            <w:hideMark/>
          </w:tcPr>
          <w:p w14:paraId="348D6FFE" w14:textId="77777777" w:rsidR="00DE6D8F" w:rsidRPr="00F66604" w:rsidRDefault="00A228F3" w:rsidP="00DE6D8F">
            <w:pPr>
              <w:jc w:val="center"/>
              <w:rPr>
                <w:rFonts w:cstheme="minorHAnsi"/>
                <w:i/>
              </w:rPr>
            </w:pPr>
            <w:r>
              <w:rPr>
                <w:rFonts w:cstheme="minorHAnsi"/>
                <w:i/>
              </w:rPr>
              <w:t>1</w:t>
            </w:r>
          </w:p>
        </w:tc>
        <w:tc>
          <w:tcPr>
            <w:tcW w:w="1701" w:type="dxa"/>
            <w:shd w:val="clear" w:color="auto" w:fill="FFFF00"/>
            <w:noWrap/>
            <w:vAlign w:val="center"/>
            <w:hideMark/>
          </w:tcPr>
          <w:p w14:paraId="310E365F" w14:textId="77777777" w:rsidR="00DE6D8F" w:rsidRPr="00F66604" w:rsidRDefault="00DE6D8F" w:rsidP="00DE6D8F">
            <w:pPr>
              <w:jc w:val="center"/>
              <w:rPr>
                <w:rFonts w:cstheme="minorHAnsi"/>
                <w:i/>
              </w:rPr>
            </w:pPr>
            <w:r w:rsidRPr="00F66604">
              <w:rPr>
                <w:rFonts w:cstheme="minorHAnsi"/>
                <w:i/>
              </w:rPr>
              <w:t>1</w:t>
            </w:r>
          </w:p>
        </w:tc>
        <w:tc>
          <w:tcPr>
            <w:tcW w:w="1559" w:type="dxa"/>
            <w:shd w:val="clear" w:color="auto" w:fill="FBD4B4" w:themeFill="accent6" w:themeFillTint="66"/>
            <w:vAlign w:val="center"/>
          </w:tcPr>
          <w:p w14:paraId="09489EDA" w14:textId="77777777" w:rsidR="00DE6D8F" w:rsidRPr="00F66604" w:rsidRDefault="00DE6D8F" w:rsidP="00DE6D8F">
            <w:pPr>
              <w:jc w:val="center"/>
              <w:rPr>
                <w:rFonts w:cstheme="minorHAnsi"/>
                <w:i/>
              </w:rPr>
            </w:pPr>
          </w:p>
        </w:tc>
        <w:tc>
          <w:tcPr>
            <w:tcW w:w="1473" w:type="dxa"/>
            <w:shd w:val="clear" w:color="auto" w:fill="BFBFBF" w:themeFill="background1" w:themeFillShade="BF"/>
            <w:vAlign w:val="center"/>
          </w:tcPr>
          <w:p w14:paraId="4202B77C" w14:textId="77777777" w:rsidR="00DE6D8F" w:rsidRPr="00F66604" w:rsidRDefault="00DE6D8F" w:rsidP="00DE6D8F">
            <w:pPr>
              <w:jc w:val="center"/>
              <w:rPr>
                <w:rFonts w:cstheme="minorHAnsi"/>
                <w:i/>
              </w:rPr>
            </w:pPr>
          </w:p>
        </w:tc>
      </w:tr>
      <w:tr w:rsidR="00DE6D8F" w:rsidRPr="00F66604" w14:paraId="0AAEC989" w14:textId="77777777" w:rsidTr="00806879">
        <w:trPr>
          <w:trHeight w:val="410"/>
        </w:trPr>
        <w:tc>
          <w:tcPr>
            <w:tcW w:w="2660" w:type="dxa"/>
            <w:noWrap/>
            <w:vAlign w:val="center"/>
            <w:hideMark/>
          </w:tcPr>
          <w:p w14:paraId="7D1F2729" w14:textId="77777777" w:rsidR="00DE6D8F" w:rsidRPr="00A228F3" w:rsidRDefault="00DE6D8F" w:rsidP="00DE6D8F">
            <w:pPr>
              <w:rPr>
                <w:rFonts w:cstheme="minorHAnsi"/>
                <w:sz w:val="20"/>
                <w:szCs w:val="20"/>
              </w:rPr>
            </w:pPr>
            <w:r w:rsidRPr="00A228F3">
              <w:rPr>
                <w:rFonts w:cstheme="minorHAnsi"/>
                <w:sz w:val="20"/>
                <w:szCs w:val="20"/>
              </w:rPr>
              <w:t>Sídliště Velké Hamry u dětského hřiště</w:t>
            </w:r>
            <w:r w:rsidR="00A228F3" w:rsidRPr="00A228F3">
              <w:rPr>
                <w:rFonts w:cstheme="minorHAnsi"/>
                <w:sz w:val="20"/>
                <w:szCs w:val="20"/>
              </w:rPr>
              <w:t xml:space="preserve"> (u č.p. 609)</w:t>
            </w:r>
          </w:p>
        </w:tc>
        <w:tc>
          <w:tcPr>
            <w:tcW w:w="1276" w:type="dxa"/>
            <w:shd w:val="clear" w:color="auto" w:fill="CCFFFF"/>
            <w:noWrap/>
            <w:vAlign w:val="center"/>
            <w:hideMark/>
          </w:tcPr>
          <w:p w14:paraId="2F2E4F59" w14:textId="77777777" w:rsidR="00DE6D8F" w:rsidRPr="00F66604" w:rsidRDefault="00DE6D8F" w:rsidP="00DE6D8F">
            <w:pPr>
              <w:jc w:val="center"/>
              <w:rPr>
                <w:rFonts w:cstheme="minorHAnsi"/>
                <w:i/>
              </w:rPr>
            </w:pPr>
            <w:r w:rsidRPr="00F66604">
              <w:rPr>
                <w:rFonts w:cstheme="minorHAnsi"/>
                <w:i/>
              </w:rPr>
              <w:t>1</w:t>
            </w:r>
          </w:p>
        </w:tc>
        <w:tc>
          <w:tcPr>
            <w:tcW w:w="1559" w:type="dxa"/>
            <w:shd w:val="clear" w:color="auto" w:fill="CCFF99"/>
            <w:noWrap/>
            <w:vAlign w:val="center"/>
            <w:hideMark/>
          </w:tcPr>
          <w:p w14:paraId="1EA6E220" w14:textId="77777777" w:rsidR="00DE6D8F" w:rsidRPr="00F66604" w:rsidRDefault="00A228F3" w:rsidP="00DE6D8F">
            <w:pPr>
              <w:jc w:val="center"/>
              <w:rPr>
                <w:rFonts w:cstheme="minorHAnsi"/>
                <w:i/>
              </w:rPr>
            </w:pPr>
            <w:r>
              <w:rPr>
                <w:rFonts w:cstheme="minorHAnsi"/>
                <w:i/>
              </w:rPr>
              <w:t>1</w:t>
            </w:r>
          </w:p>
        </w:tc>
        <w:tc>
          <w:tcPr>
            <w:tcW w:w="1701" w:type="dxa"/>
            <w:shd w:val="clear" w:color="auto" w:fill="FFFF00"/>
            <w:noWrap/>
            <w:vAlign w:val="center"/>
            <w:hideMark/>
          </w:tcPr>
          <w:p w14:paraId="033DA279" w14:textId="77777777" w:rsidR="00DE6D8F" w:rsidRPr="00F66604" w:rsidRDefault="00DE6D8F" w:rsidP="00DE6D8F">
            <w:pPr>
              <w:jc w:val="center"/>
              <w:rPr>
                <w:rFonts w:cstheme="minorHAnsi"/>
                <w:i/>
              </w:rPr>
            </w:pPr>
          </w:p>
        </w:tc>
        <w:tc>
          <w:tcPr>
            <w:tcW w:w="1559" w:type="dxa"/>
            <w:shd w:val="clear" w:color="auto" w:fill="FBD4B4" w:themeFill="accent6" w:themeFillTint="66"/>
            <w:vAlign w:val="center"/>
          </w:tcPr>
          <w:p w14:paraId="6E8E9BF3" w14:textId="77777777" w:rsidR="00DE6D8F" w:rsidRPr="00F66604" w:rsidRDefault="00DE6D8F" w:rsidP="00DE6D8F">
            <w:pPr>
              <w:jc w:val="center"/>
              <w:rPr>
                <w:rFonts w:cstheme="minorHAnsi"/>
                <w:i/>
              </w:rPr>
            </w:pPr>
          </w:p>
        </w:tc>
        <w:tc>
          <w:tcPr>
            <w:tcW w:w="1473" w:type="dxa"/>
            <w:shd w:val="clear" w:color="auto" w:fill="BFBFBF" w:themeFill="background1" w:themeFillShade="BF"/>
            <w:vAlign w:val="center"/>
          </w:tcPr>
          <w:p w14:paraId="7001A89F" w14:textId="77777777" w:rsidR="00DE6D8F" w:rsidRPr="00F66604" w:rsidRDefault="00DE6D8F" w:rsidP="00DE6D8F">
            <w:pPr>
              <w:jc w:val="center"/>
              <w:rPr>
                <w:rFonts w:cstheme="minorHAnsi"/>
                <w:i/>
              </w:rPr>
            </w:pPr>
          </w:p>
        </w:tc>
      </w:tr>
      <w:tr w:rsidR="00DE6D8F" w:rsidRPr="00F66604" w14:paraId="14B0E69D" w14:textId="77777777" w:rsidTr="00806879">
        <w:trPr>
          <w:trHeight w:val="410"/>
        </w:trPr>
        <w:tc>
          <w:tcPr>
            <w:tcW w:w="2660" w:type="dxa"/>
            <w:noWrap/>
            <w:vAlign w:val="center"/>
          </w:tcPr>
          <w:p w14:paraId="6E76444A" w14:textId="77777777" w:rsidR="00DE6D8F" w:rsidRPr="00A228F3" w:rsidRDefault="00DE6D8F" w:rsidP="00DE6D8F">
            <w:pPr>
              <w:rPr>
                <w:rFonts w:cstheme="minorHAnsi"/>
                <w:sz w:val="20"/>
                <w:szCs w:val="20"/>
              </w:rPr>
            </w:pPr>
            <w:r w:rsidRPr="00A228F3">
              <w:rPr>
                <w:rFonts w:cstheme="minorHAnsi"/>
                <w:sz w:val="20"/>
                <w:szCs w:val="20"/>
              </w:rPr>
              <w:t>Sídliště Velké Hamry u čp. 613</w:t>
            </w:r>
          </w:p>
        </w:tc>
        <w:tc>
          <w:tcPr>
            <w:tcW w:w="1276" w:type="dxa"/>
            <w:shd w:val="clear" w:color="auto" w:fill="CCFFFF"/>
            <w:noWrap/>
            <w:vAlign w:val="center"/>
          </w:tcPr>
          <w:p w14:paraId="4A26BB93"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CCFF99"/>
            <w:noWrap/>
            <w:vAlign w:val="center"/>
          </w:tcPr>
          <w:p w14:paraId="4AF6D76F" w14:textId="77777777" w:rsidR="00DE6D8F" w:rsidRPr="00F66604" w:rsidRDefault="00DE6D8F" w:rsidP="00DE6D8F">
            <w:pPr>
              <w:jc w:val="center"/>
              <w:rPr>
                <w:rFonts w:cstheme="minorHAnsi"/>
              </w:rPr>
            </w:pPr>
          </w:p>
        </w:tc>
        <w:tc>
          <w:tcPr>
            <w:tcW w:w="1701" w:type="dxa"/>
            <w:shd w:val="clear" w:color="auto" w:fill="FFFF00"/>
            <w:noWrap/>
            <w:vAlign w:val="center"/>
          </w:tcPr>
          <w:p w14:paraId="7AB39FC7"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FBD4B4" w:themeFill="accent6" w:themeFillTint="66"/>
            <w:vAlign w:val="center"/>
          </w:tcPr>
          <w:p w14:paraId="5805890E" w14:textId="77777777" w:rsidR="00DE6D8F" w:rsidRPr="00F66604" w:rsidRDefault="00DE6D8F" w:rsidP="00DE6D8F">
            <w:pPr>
              <w:jc w:val="center"/>
              <w:rPr>
                <w:rFonts w:cstheme="minorHAnsi"/>
              </w:rPr>
            </w:pPr>
          </w:p>
        </w:tc>
        <w:tc>
          <w:tcPr>
            <w:tcW w:w="1473" w:type="dxa"/>
            <w:shd w:val="clear" w:color="auto" w:fill="BFBFBF" w:themeFill="background1" w:themeFillShade="BF"/>
            <w:vAlign w:val="center"/>
          </w:tcPr>
          <w:p w14:paraId="6767D059" w14:textId="77777777" w:rsidR="00DE6D8F" w:rsidRPr="00F66604" w:rsidRDefault="00DE6D8F" w:rsidP="00DE6D8F">
            <w:pPr>
              <w:jc w:val="center"/>
              <w:rPr>
                <w:rFonts w:cstheme="minorHAnsi"/>
              </w:rPr>
            </w:pPr>
          </w:p>
        </w:tc>
      </w:tr>
      <w:tr w:rsidR="00A228F3" w:rsidRPr="00F66604" w14:paraId="24270A92" w14:textId="77777777" w:rsidTr="00806879">
        <w:trPr>
          <w:trHeight w:val="410"/>
        </w:trPr>
        <w:tc>
          <w:tcPr>
            <w:tcW w:w="2660" w:type="dxa"/>
            <w:noWrap/>
            <w:vAlign w:val="center"/>
          </w:tcPr>
          <w:p w14:paraId="618BC74F" w14:textId="77777777" w:rsidR="00A228F3" w:rsidRPr="00A228F3" w:rsidRDefault="00A228F3" w:rsidP="00DE6D8F">
            <w:pPr>
              <w:rPr>
                <w:rFonts w:cstheme="minorHAnsi"/>
                <w:sz w:val="20"/>
                <w:szCs w:val="20"/>
              </w:rPr>
            </w:pPr>
            <w:proofErr w:type="spellStart"/>
            <w:r w:rsidRPr="00A228F3">
              <w:rPr>
                <w:rFonts w:cstheme="minorHAnsi"/>
                <w:sz w:val="20"/>
                <w:szCs w:val="20"/>
              </w:rPr>
              <w:t>Chlupanda</w:t>
            </w:r>
            <w:proofErr w:type="spellEnd"/>
          </w:p>
        </w:tc>
        <w:tc>
          <w:tcPr>
            <w:tcW w:w="1276" w:type="dxa"/>
            <w:shd w:val="clear" w:color="auto" w:fill="CCFFFF"/>
            <w:noWrap/>
            <w:vAlign w:val="center"/>
          </w:tcPr>
          <w:p w14:paraId="4A6A1D55" w14:textId="77777777" w:rsidR="00A228F3" w:rsidRPr="00F66604" w:rsidRDefault="00A228F3" w:rsidP="00DE6D8F">
            <w:pPr>
              <w:jc w:val="center"/>
              <w:rPr>
                <w:rFonts w:cstheme="minorHAnsi"/>
              </w:rPr>
            </w:pPr>
            <w:r>
              <w:rPr>
                <w:rFonts w:cstheme="minorHAnsi"/>
              </w:rPr>
              <w:t>1</w:t>
            </w:r>
          </w:p>
        </w:tc>
        <w:tc>
          <w:tcPr>
            <w:tcW w:w="1559" w:type="dxa"/>
            <w:shd w:val="clear" w:color="auto" w:fill="CCFF99"/>
            <w:noWrap/>
            <w:vAlign w:val="center"/>
          </w:tcPr>
          <w:p w14:paraId="63F4147A" w14:textId="77777777" w:rsidR="00A228F3" w:rsidRPr="00F66604" w:rsidRDefault="00A228F3" w:rsidP="00DE6D8F">
            <w:pPr>
              <w:jc w:val="center"/>
              <w:rPr>
                <w:rFonts w:cstheme="minorHAnsi"/>
              </w:rPr>
            </w:pPr>
          </w:p>
        </w:tc>
        <w:tc>
          <w:tcPr>
            <w:tcW w:w="1701" w:type="dxa"/>
            <w:shd w:val="clear" w:color="auto" w:fill="FFFF00"/>
            <w:noWrap/>
            <w:vAlign w:val="center"/>
          </w:tcPr>
          <w:p w14:paraId="25C27AEB" w14:textId="77777777" w:rsidR="00A228F3" w:rsidRPr="00F66604" w:rsidRDefault="00A228F3" w:rsidP="00DE6D8F">
            <w:pPr>
              <w:jc w:val="center"/>
              <w:rPr>
                <w:rFonts w:cstheme="minorHAnsi"/>
              </w:rPr>
            </w:pPr>
            <w:r>
              <w:rPr>
                <w:rFonts w:cstheme="minorHAnsi"/>
              </w:rPr>
              <w:t>1</w:t>
            </w:r>
          </w:p>
        </w:tc>
        <w:tc>
          <w:tcPr>
            <w:tcW w:w="1559" w:type="dxa"/>
            <w:shd w:val="clear" w:color="auto" w:fill="FBD4B4" w:themeFill="accent6" w:themeFillTint="66"/>
            <w:vAlign w:val="center"/>
          </w:tcPr>
          <w:p w14:paraId="30F240BF" w14:textId="77777777" w:rsidR="00A228F3" w:rsidRPr="00F66604" w:rsidRDefault="00A228F3" w:rsidP="00DE6D8F">
            <w:pPr>
              <w:jc w:val="center"/>
              <w:rPr>
                <w:rFonts w:cstheme="minorHAnsi"/>
              </w:rPr>
            </w:pPr>
          </w:p>
        </w:tc>
        <w:tc>
          <w:tcPr>
            <w:tcW w:w="1473" w:type="dxa"/>
            <w:shd w:val="clear" w:color="auto" w:fill="BFBFBF" w:themeFill="background1" w:themeFillShade="BF"/>
            <w:vAlign w:val="center"/>
          </w:tcPr>
          <w:p w14:paraId="58AA9BC7" w14:textId="77777777" w:rsidR="00A228F3" w:rsidRPr="00F66604" w:rsidRDefault="00A228F3" w:rsidP="00DE6D8F">
            <w:pPr>
              <w:jc w:val="center"/>
              <w:rPr>
                <w:rFonts w:cstheme="minorHAnsi"/>
              </w:rPr>
            </w:pPr>
          </w:p>
        </w:tc>
      </w:tr>
      <w:tr w:rsidR="00DE6D8F" w:rsidRPr="00F66604" w14:paraId="423F6B5B" w14:textId="77777777" w:rsidTr="00806879">
        <w:trPr>
          <w:trHeight w:val="410"/>
        </w:trPr>
        <w:tc>
          <w:tcPr>
            <w:tcW w:w="2660" w:type="dxa"/>
            <w:noWrap/>
            <w:vAlign w:val="center"/>
          </w:tcPr>
          <w:p w14:paraId="08CD3E63" w14:textId="77777777" w:rsidR="00DE6D8F" w:rsidRPr="00A228F3" w:rsidRDefault="00DE6D8F" w:rsidP="00DE6D8F">
            <w:pPr>
              <w:rPr>
                <w:rFonts w:cstheme="minorHAnsi"/>
                <w:sz w:val="20"/>
                <w:szCs w:val="20"/>
              </w:rPr>
            </w:pPr>
            <w:r w:rsidRPr="00A228F3">
              <w:rPr>
                <w:rFonts w:cstheme="minorHAnsi"/>
                <w:sz w:val="20"/>
                <w:szCs w:val="20"/>
              </w:rPr>
              <w:t>DPS 629 - 631</w:t>
            </w:r>
          </w:p>
        </w:tc>
        <w:tc>
          <w:tcPr>
            <w:tcW w:w="1276" w:type="dxa"/>
            <w:shd w:val="clear" w:color="auto" w:fill="CCFFFF"/>
            <w:noWrap/>
            <w:vAlign w:val="center"/>
          </w:tcPr>
          <w:p w14:paraId="44DF0A0C"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CCFF99"/>
            <w:noWrap/>
            <w:vAlign w:val="center"/>
          </w:tcPr>
          <w:p w14:paraId="3B913D09" w14:textId="77777777" w:rsidR="00DE6D8F" w:rsidRPr="00F66604" w:rsidRDefault="00DE6D8F" w:rsidP="00DE6D8F">
            <w:pPr>
              <w:jc w:val="center"/>
              <w:rPr>
                <w:rFonts w:cstheme="minorHAnsi"/>
              </w:rPr>
            </w:pPr>
            <w:r w:rsidRPr="00F66604">
              <w:rPr>
                <w:rFonts w:cstheme="minorHAnsi"/>
              </w:rPr>
              <w:t>1</w:t>
            </w:r>
          </w:p>
        </w:tc>
        <w:tc>
          <w:tcPr>
            <w:tcW w:w="1701" w:type="dxa"/>
            <w:shd w:val="clear" w:color="auto" w:fill="FFFF00"/>
            <w:noWrap/>
            <w:vAlign w:val="center"/>
          </w:tcPr>
          <w:p w14:paraId="4DDF5178"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FBD4B4" w:themeFill="accent6" w:themeFillTint="66"/>
            <w:vAlign w:val="center"/>
          </w:tcPr>
          <w:p w14:paraId="0B454236" w14:textId="77777777" w:rsidR="00DE6D8F" w:rsidRPr="00F66604" w:rsidRDefault="00DE6D8F" w:rsidP="00DE6D8F">
            <w:pPr>
              <w:jc w:val="center"/>
              <w:rPr>
                <w:rFonts w:cstheme="minorHAnsi"/>
              </w:rPr>
            </w:pPr>
          </w:p>
        </w:tc>
        <w:tc>
          <w:tcPr>
            <w:tcW w:w="1473" w:type="dxa"/>
            <w:shd w:val="clear" w:color="auto" w:fill="BFBFBF" w:themeFill="background1" w:themeFillShade="BF"/>
            <w:vAlign w:val="center"/>
          </w:tcPr>
          <w:p w14:paraId="7B09CE61" w14:textId="77777777" w:rsidR="00DE6D8F" w:rsidRPr="00F66604" w:rsidRDefault="00DE6D8F" w:rsidP="00DE6D8F">
            <w:pPr>
              <w:jc w:val="center"/>
              <w:rPr>
                <w:rFonts w:cstheme="minorHAnsi"/>
              </w:rPr>
            </w:pPr>
          </w:p>
        </w:tc>
      </w:tr>
      <w:tr w:rsidR="00DE6D8F" w:rsidRPr="00F66604" w14:paraId="416F400E" w14:textId="77777777" w:rsidTr="00806879">
        <w:trPr>
          <w:trHeight w:val="410"/>
        </w:trPr>
        <w:tc>
          <w:tcPr>
            <w:tcW w:w="2660" w:type="dxa"/>
            <w:noWrap/>
            <w:vAlign w:val="center"/>
          </w:tcPr>
          <w:p w14:paraId="16064F50" w14:textId="77777777" w:rsidR="00DE6D8F" w:rsidRPr="00A228F3" w:rsidRDefault="00DE6D8F" w:rsidP="00DE6D8F">
            <w:pPr>
              <w:rPr>
                <w:rFonts w:cstheme="minorHAnsi"/>
                <w:sz w:val="20"/>
                <w:szCs w:val="20"/>
              </w:rPr>
            </w:pPr>
            <w:r w:rsidRPr="00A228F3">
              <w:rPr>
                <w:rFonts w:cstheme="minorHAnsi"/>
                <w:sz w:val="20"/>
                <w:szCs w:val="20"/>
              </w:rPr>
              <w:t>DPS 675 - 676</w:t>
            </w:r>
          </w:p>
        </w:tc>
        <w:tc>
          <w:tcPr>
            <w:tcW w:w="1276" w:type="dxa"/>
            <w:shd w:val="clear" w:color="auto" w:fill="CCFFFF"/>
            <w:noWrap/>
            <w:vAlign w:val="center"/>
          </w:tcPr>
          <w:p w14:paraId="0B1D6DF5" w14:textId="77777777" w:rsidR="00DE6D8F" w:rsidRPr="00F66604" w:rsidRDefault="00DE6D8F" w:rsidP="00DE6D8F">
            <w:pPr>
              <w:jc w:val="center"/>
              <w:rPr>
                <w:rFonts w:cstheme="minorHAnsi"/>
                <w:color w:val="000000"/>
              </w:rPr>
            </w:pPr>
            <w:r w:rsidRPr="00F66604">
              <w:rPr>
                <w:rFonts w:cstheme="minorHAnsi"/>
                <w:color w:val="000000"/>
              </w:rPr>
              <w:t>1</w:t>
            </w:r>
          </w:p>
        </w:tc>
        <w:tc>
          <w:tcPr>
            <w:tcW w:w="1559" w:type="dxa"/>
            <w:shd w:val="clear" w:color="auto" w:fill="CCFF99"/>
            <w:noWrap/>
            <w:vAlign w:val="center"/>
          </w:tcPr>
          <w:p w14:paraId="031004D5" w14:textId="77777777" w:rsidR="00DE6D8F" w:rsidRPr="00F66604" w:rsidRDefault="00DE6D8F" w:rsidP="00DE6D8F">
            <w:pPr>
              <w:jc w:val="center"/>
              <w:rPr>
                <w:rFonts w:cstheme="minorHAnsi"/>
                <w:color w:val="000000"/>
              </w:rPr>
            </w:pPr>
            <w:r w:rsidRPr="00F66604">
              <w:rPr>
                <w:rFonts w:cstheme="minorHAnsi"/>
                <w:color w:val="000000"/>
              </w:rPr>
              <w:t>1</w:t>
            </w:r>
          </w:p>
        </w:tc>
        <w:tc>
          <w:tcPr>
            <w:tcW w:w="1701" w:type="dxa"/>
            <w:shd w:val="clear" w:color="auto" w:fill="FFFF00"/>
            <w:noWrap/>
            <w:vAlign w:val="center"/>
          </w:tcPr>
          <w:p w14:paraId="18961508" w14:textId="77777777" w:rsidR="00DE6D8F" w:rsidRPr="00F66604" w:rsidRDefault="00DE6D8F" w:rsidP="00DE6D8F">
            <w:pPr>
              <w:jc w:val="center"/>
              <w:rPr>
                <w:rFonts w:cstheme="minorHAnsi"/>
                <w:color w:val="000000"/>
              </w:rPr>
            </w:pPr>
            <w:r w:rsidRPr="00F66604">
              <w:rPr>
                <w:rFonts w:cstheme="minorHAnsi"/>
                <w:color w:val="000000"/>
              </w:rPr>
              <w:t>1</w:t>
            </w:r>
          </w:p>
        </w:tc>
        <w:tc>
          <w:tcPr>
            <w:tcW w:w="1559" w:type="dxa"/>
            <w:shd w:val="clear" w:color="auto" w:fill="FBD4B4" w:themeFill="accent6" w:themeFillTint="66"/>
            <w:vAlign w:val="center"/>
          </w:tcPr>
          <w:p w14:paraId="50B1897B" w14:textId="77777777" w:rsidR="00DE6D8F" w:rsidRPr="00F66604" w:rsidRDefault="00DE6D8F" w:rsidP="00DE6D8F">
            <w:pPr>
              <w:jc w:val="center"/>
              <w:rPr>
                <w:rFonts w:cstheme="minorHAnsi"/>
                <w:color w:val="000000"/>
              </w:rPr>
            </w:pPr>
          </w:p>
        </w:tc>
        <w:tc>
          <w:tcPr>
            <w:tcW w:w="1473" w:type="dxa"/>
            <w:shd w:val="clear" w:color="auto" w:fill="BFBFBF" w:themeFill="background1" w:themeFillShade="BF"/>
            <w:vAlign w:val="center"/>
          </w:tcPr>
          <w:p w14:paraId="45F41FA8" w14:textId="77777777" w:rsidR="00DE6D8F" w:rsidRPr="00F66604" w:rsidRDefault="00DE6D8F" w:rsidP="00DE6D8F">
            <w:pPr>
              <w:jc w:val="center"/>
              <w:rPr>
                <w:rFonts w:cstheme="minorHAnsi"/>
                <w:color w:val="000000"/>
              </w:rPr>
            </w:pPr>
          </w:p>
        </w:tc>
      </w:tr>
      <w:tr w:rsidR="00DE6D8F" w:rsidRPr="00F66604" w14:paraId="4D57A7DA" w14:textId="77777777" w:rsidTr="00806879">
        <w:trPr>
          <w:trHeight w:val="410"/>
        </w:trPr>
        <w:tc>
          <w:tcPr>
            <w:tcW w:w="2660" w:type="dxa"/>
            <w:noWrap/>
            <w:vAlign w:val="center"/>
          </w:tcPr>
          <w:p w14:paraId="63F932A0" w14:textId="77777777" w:rsidR="00DE6D8F" w:rsidRPr="00A228F3" w:rsidRDefault="00DE6D8F" w:rsidP="00DE6D8F">
            <w:pPr>
              <w:rPr>
                <w:rFonts w:cstheme="minorHAnsi"/>
                <w:sz w:val="20"/>
                <w:szCs w:val="20"/>
              </w:rPr>
            </w:pPr>
            <w:r w:rsidRPr="00A228F3">
              <w:rPr>
                <w:rFonts w:cstheme="minorHAnsi"/>
                <w:sz w:val="20"/>
                <w:szCs w:val="20"/>
              </w:rPr>
              <w:t>Družstevní domy za kostelem</w:t>
            </w:r>
          </w:p>
        </w:tc>
        <w:tc>
          <w:tcPr>
            <w:tcW w:w="1276" w:type="dxa"/>
            <w:shd w:val="clear" w:color="auto" w:fill="CCFFFF"/>
            <w:noWrap/>
            <w:vAlign w:val="center"/>
          </w:tcPr>
          <w:p w14:paraId="6A180049" w14:textId="77777777" w:rsidR="00DE6D8F" w:rsidRPr="00F66604" w:rsidRDefault="00DE6D8F" w:rsidP="00DE6D8F">
            <w:pPr>
              <w:jc w:val="center"/>
              <w:rPr>
                <w:rFonts w:cstheme="minorHAnsi"/>
                <w:color w:val="000000"/>
              </w:rPr>
            </w:pPr>
            <w:r w:rsidRPr="00F66604">
              <w:rPr>
                <w:rFonts w:cstheme="minorHAnsi"/>
                <w:color w:val="000000"/>
              </w:rPr>
              <w:t>1</w:t>
            </w:r>
          </w:p>
        </w:tc>
        <w:tc>
          <w:tcPr>
            <w:tcW w:w="1559" w:type="dxa"/>
            <w:shd w:val="clear" w:color="auto" w:fill="CCFF99"/>
            <w:noWrap/>
            <w:vAlign w:val="center"/>
          </w:tcPr>
          <w:p w14:paraId="35CFDA65" w14:textId="77777777" w:rsidR="00DE6D8F" w:rsidRPr="00F66604" w:rsidRDefault="00DE6D8F" w:rsidP="00DE6D8F">
            <w:pPr>
              <w:jc w:val="center"/>
              <w:rPr>
                <w:rFonts w:cstheme="minorHAnsi"/>
                <w:color w:val="000000"/>
              </w:rPr>
            </w:pPr>
            <w:r w:rsidRPr="00F66604">
              <w:rPr>
                <w:rFonts w:cstheme="minorHAnsi"/>
                <w:color w:val="000000"/>
              </w:rPr>
              <w:t>1</w:t>
            </w:r>
          </w:p>
        </w:tc>
        <w:tc>
          <w:tcPr>
            <w:tcW w:w="1701" w:type="dxa"/>
            <w:shd w:val="clear" w:color="auto" w:fill="FFFF00"/>
            <w:noWrap/>
            <w:vAlign w:val="center"/>
          </w:tcPr>
          <w:p w14:paraId="01FA216C" w14:textId="77777777" w:rsidR="00DE6D8F" w:rsidRPr="00F66604" w:rsidRDefault="00DE6D8F" w:rsidP="00DE6D8F">
            <w:pPr>
              <w:jc w:val="center"/>
              <w:rPr>
                <w:rFonts w:cstheme="minorHAnsi"/>
                <w:color w:val="000000"/>
              </w:rPr>
            </w:pPr>
            <w:r w:rsidRPr="00F66604">
              <w:rPr>
                <w:rFonts w:cstheme="minorHAnsi"/>
                <w:color w:val="000000"/>
              </w:rPr>
              <w:t>1</w:t>
            </w:r>
          </w:p>
        </w:tc>
        <w:tc>
          <w:tcPr>
            <w:tcW w:w="1559" w:type="dxa"/>
            <w:shd w:val="clear" w:color="auto" w:fill="FBD4B4" w:themeFill="accent6" w:themeFillTint="66"/>
            <w:vAlign w:val="center"/>
          </w:tcPr>
          <w:p w14:paraId="73E0DFB5" w14:textId="77777777" w:rsidR="00DE6D8F" w:rsidRPr="00F66604" w:rsidRDefault="00DE6D8F" w:rsidP="00DE6D8F">
            <w:pPr>
              <w:jc w:val="center"/>
              <w:rPr>
                <w:rFonts w:cstheme="minorHAnsi"/>
                <w:color w:val="000000"/>
              </w:rPr>
            </w:pPr>
          </w:p>
        </w:tc>
        <w:tc>
          <w:tcPr>
            <w:tcW w:w="1473" w:type="dxa"/>
            <w:shd w:val="clear" w:color="auto" w:fill="BFBFBF" w:themeFill="background1" w:themeFillShade="BF"/>
            <w:vAlign w:val="center"/>
          </w:tcPr>
          <w:p w14:paraId="14F31ACB" w14:textId="77777777" w:rsidR="00DE6D8F" w:rsidRPr="00F66604" w:rsidRDefault="00DE6D8F" w:rsidP="00DE6D8F">
            <w:pPr>
              <w:jc w:val="center"/>
              <w:rPr>
                <w:rFonts w:cstheme="minorHAnsi"/>
                <w:color w:val="000000"/>
              </w:rPr>
            </w:pPr>
          </w:p>
        </w:tc>
      </w:tr>
      <w:tr w:rsidR="00DE6D8F" w:rsidRPr="00F66604" w14:paraId="01EDACDD" w14:textId="77777777" w:rsidTr="00806879">
        <w:trPr>
          <w:trHeight w:val="410"/>
        </w:trPr>
        <w:tc>
          <w:tcPr>
            <w:tcW w:w="2660" w:type="dxa"/>
            <w:noWrap/>
            <w:vAlign w:val="center"/>
          </w:tcPr>
          <w:p w14:paraId="36CF2253" w14:textId="77777777" w:rsidR="00DE6D8F" w:rsidRPr="00A228F3" w:rsidRDefault="00DE6D8F" w:rsidP="00DE6D8F">
            <w:pPr>
              <w:rPr>
                <w:rFonts w:cstheme="minorHAnsi"/>
                <w:sz w:val="20"/>
                <w:szCs w:val="20"/>
              </w:rPr>
            </w:pPr>
            <w:r w:rsidRPr="00A228F3">
              <w:rPr>
                <w:rFonts w:cstheme="minorHAnsi"/>
                <w:sz w:val="20"/>
                <w:szCs w:val="20"/>
              </w:rPr>
              <w:t>ZŠ Velké Hamry I</w:t>
            </w:r>
          </w:p>
        </w:tc>
        <w:tc>
          <w:tcPr>
            <w:tcW w:w="1276" w:type="dxa"/>
            <w:shd w:val="clear" w:color="auto" w:fill="CCFFFF"/>
            <w:noWrap/>
            <w:vAlign w:val="center"/>
          </w:tcPr>
          <w:p w14:paraId="4364929C"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CCFF99"/>
            <w:noWrap/>
            <w:vAlign w:val="center"/>
          </w:tcPr>
          <w:p w14:paraId="045936F4" w14:textId="77777777" w:rsidR="00DE6D8F" w:rsidRPr="00F66604" w:rsidRDefault="00DE6D8F" w:rsidP="00DE6D8F">
            <w:pPr>
              <w:jc w:val="center"/>
              <w:rPr>
                <w:rFonts w:cstheme="minorHAnsi"/>
              </w:rPr>
            </w:pPr>
            <w:r w:rsidRPr="00F66604">
              <w:rPr>
                <w:rFonts w:cstheme="minorHAnsi"/>
              </w:rPr>
              <w:t>1</w:t>
            </w:r>
          </w:p>
        </w:tc>
        <w:tc>
          <w:tcPr>
            <w:tcW w:w="1701" w:type="dxa"/>
            <w:shd w:val="clear" w:color="auto" w:fill="FFFF00"/>
            <w:noWrap/>
            <w:vAlign w:val="center"/>
          </w:tcPr>
          <w:p w14:paraId="6D9DDEAB"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FBD4B4" w:themeFill="accent6" w:themeFillTint="66"/>
            <w:vAlign w:val="center"/>
          </w:tcPr>
          <w:p w14:paraId="5C743085" w14:textId="77777777" w:rsidR="00DE6D8F" w:rsidRPr="00F66604" w:rsidRDefault="00DE6D8F" w:rsidP="00DE6D8F">
            <w:pPr>
              <w:jc w:val="center"/>
              <w:rPr>
                <w:rFonts w:cstheme="minorHAnsi"/>
              </w:rPr>
            </w:pPr>
          </w:p>
        </w:tc>
        <w:tc>
          <w:tcPr>
            <w:tcW w:w="1473" w:type="dxa"/>
            <w:shd w:val="clear" w:color="auto" w:fill="BFBFBF" w:themeFill="background1" w:themeFillShade="BF"/>
            <w:vAlign w:val="center"/>
          </w:tcPr>
          <w:p w14:paraId="70763575" w14:textId="77777777" w:rsidR="00DE6D8F" w:rsidRPr="00F66604" w:rsidRDefault="00DE6D8F" w:rsidP="00DE6D8F">
            <w:pPr>
              <w:jc w:val="center"/>
              <w:rPr>
                <w:rFonts w:cstheme="minorHAnsi"/>
              </w:rPr>
            </w:pPr>
          </w:p>
        </w:tc>
      </w:tr>
      <w:tr w:rsidR="00DE6D8F" w:rsidRPr="00F66604" w14:paraId="41AF0B31" w14:textId="77777777" w:rsidTr="00806879">
        <w:trPr>
          <w:trHeight w:val="410"/>
        </w:trPr>
        <w:tc>
          <w:tcPr>
            <w:tcW w:w="2660" w:type="dxa"/>
            <w:noWrap/>
            <w:vAlign w:val="center"/>
          </w:tcPr>
          <w:p w14:paraId="160D485E" w14:textId="77777777" w:rsidR="00DE6D8F" w:rsidRPr="00A228F3" w:rsidRDefault="00DE6D8F" w:rsidP="00DE6D8F">
            <w:pPr>
              <w:rPr>
                <w:rFonts w:cstheme="minorHAnsi"/>
                <w:sz w:val="20"/>
                <w:szCs w:val="20"/>
              </w:rPr>
            </w:pPr>
            <w:r w:rsidRPr="00A228F3">
              <w:rPr>
                <w:rFonts w:cstheme="minorHAnsi"/>
                <w:sz w:val="20"/>
                <w:szCs w:val="20"/>
              </w:rPr>
              <w:t>U hřbitova Velké Hamry I</w:t>
            </w:r>
          </w:p>
        </w:tc>
        <w:tc>
          <w:tcPr>
            <w:tcW w:w="1276" w:type="dxa"/>
            <w:shd w:val="clear" w:color="auto" w:fill="CCFFFF"/>
            <w:noWrap/>
            <w:vAlign w:val="center"/>
          </w:tcPr>
          <w:p w14:paraId="169E0CD4"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CCFF99"/>
            <w:noWrap/>
            <w:vAlign w:val="center"/>
          </w:tcPr>
          <w:p w14:paraId="485EE0DB" w14:textId="77777777" w:rsidR="00DE6D8F" w:rsidRPr="00F66604" w:rsidRDefault="00DE6D8F" w:rsidP="00DE6D8F">
            <w:pPr>
              <w:jc w:val="center"/>
              <w:rPr>
                <w:rFonts w:cstheme="minorHAnsi"/>
              </w:rPr>
            </w:pPr>
          </w:p>
        </w:tc>
        <w:tc>
          <w:tcPr>
            <w:tcW w:w="1701" w:type="dxa"/>
            <w:shd w:val="clear" w:color="auto" w:fill="FFFF00"/>
            <w:noWrap/>
            <w:vAlign w:val="center"/>
          </w:tcPr>
          <w:p w14:paraId="7AE5021A" w14:textId="77777777" w:rsidR="00DE6D8F" w:rsidRPr="00F66604" w:rsidRDefault="00A228F3" w:rsidP="00DE6D8F">
            <w:pPr>
              <w:jc w:val="center"/>
              <w:rPr>
                <w:rFonts w:cstheme="minorHAnsi"/>
              </w:rPr>
            </w:pPr>
            <w:r>
              <w:rPr>
                <w:rFonts w:cstheme="minorHAnsi"/>
              </w:rPr>
              <w:t>1</w:t>
            </w:r>
          </w:p>
        </w:tc>
        <w:tc>
          <w:tcPr>
            <w:tcW w:w="1559" w:type="dxa"/>
            <w:shd w:val="clear" w:color="auto" w:fill="FBD4B4" w:themeFill="accent6" w:themeFillTint="66"/>
            <w:vAlign w:val="center"/>
          </w:tcPr>
          <w:p w14:paraId="3E8EA9C3" w14:textId="77777777" w:rsidR="00DE6D8F" w:rsidRPr="00F66604" w:rsidRDefault="00DE6D8F" w:rsidP="00DE6D8F">
            <w:pPr>
              <w:jc w:val="center"/>
              <w:rPr>
                <w:rFonts w:cstheme="minorHAnsi"/>
              </w:rPr>
            </w:pPr>
          </w:p>
        </w:tc>
        <w:tc>
          <w:tcPr>
            <w:tcW w:w="1473" w:type="dxa"/>
            <w:shd w:val="clear" w:color="auto" w:fill="BFBFBF" w:themeFill="background1" w:themeFillShade="BF"/>
            <w:vAlign w:val="center"/>
          </w:tcPr>
          <w:p w14:paraId="021383AC" w14:textId="77777777" w:rsidR="00DE6D8F" w:rsidRPr="00F66604" w:rsidRDefault="00DE6D8F" w:rsidP="00DE6D8F">
            <w:pPr>
              <w:jc w:val="center"/>
              <w:rPr>
                <w:rFonts w:cstheme="minorHAnsi"/>
              </w:rPr>
            </w:pPr>
          </w:p>
        </w:tc>
      </w:tr>
      <w:tr w:rsidR="00DE6D8F" w:rsidRPr="00F66604" w14:paraId="5BA7463F" w14:textId="77777777" w:rsidTr="00806879">
        <w:trPr>
          <w:trHeight w:val="410"/>
        </w:trPr>
        <w:tc>
          <w:tcPr>
            <w:tcW w:w="2660" w:type="dxa"/>
            <w:noWrap/>
            <w:vAlign w:val="center"/>
          </w:tcPr>
          <w:p w14:paraId="734D28FF" w14:textId="77777777" w:rsidR="00DE6D8F" w:rsidRPr="00A228F3" w:rsidRDefault="00DE6D8F" w:rsidP="00DE6D8F">
            <w:pPr>
              <w:rPr>
                <w:rFonts w:cstheme="minorHAnsi"/>
                <w:sz w:val="20"/>
                <w:szCs w:val="20"/>
              </w:rPr>
            </w:pPr>
            <w:r w:rsidRPr="00A228F3">
              <w:rPr>
                <w:rFonts w:cstheme="minorHAnsi"/>
                <w:sz w:val="20"/>
                <w:szCs w:val="20"/>
              </w:rPr>
              <w:t>U fary Velké Hamry I</w:t>
            </w:r>
          </w:p>
        </w:tc>
        <w:tc>
          <w:tcPr>
            <w:tcW w:w="1276" w:type="dxa"/>
            <w:shd w:val="clear" w:color="auto" w:fill="CCFFFF"/>
            <w:noWrap/>
            <w:vAlign w:val="center"/>
          </w:tcPr>
          <w:p w14:paraId="722AB971"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CCFF99"/>
            <w:noWrap/>
            <w:vAlign w:val="center"/>
          </w:tcPr>
          <w:p w14:paraId="6C191929" w14:textId="77777777" w:rsidR="00DE6D8F" w:rsidRPr="00F66604" w:rsidRDefault="00AF49E0" w:rsidP="00DE6D8F">
            <w:pPr>
              <w:jc w:val="center"/>
              <w:rPr>
                <w:rFonts w:cstheme="minorHAnsi"/>
              </w:rPr>
            </w:pPr>
            <w:r>
              <w:rPr>
                <w:rFonts w:cstheme="minorHAnsi"/>
              </w:rPr>
              <w:t>1</w:t>
            </w:r>
          </w:p>
        </w:tc>
        <w:tc>
          <w:tcPr>
            <w:tcW w:w="1701" w:type="dxa"/>
            <w:shd w:val="clear" w:color="auto" w:fill="FFFF00"/>
            <w:noWrap/>
            <w:vAlign w:val="center"/>
          </w:tcPr>
          <w:p w14:paraId="19E73681" w14:textId="77777777" w:rsidR="00DE6D8F" w:rsidRPr="00F66604" w:rsidRDefault="00A228F3" w:rsidP="00DE6D8F">
            <w:pPr>
              <w:jc w:val="center"/>
              <w:rPr>
                <w:rFonts w:cstheme="minorHAnsi"/>
              </w:rPr>
            </w:pPr>
            <w:r>
              <w:rPr>
                <w:rFonts w:cstheme="minorHAnsi"/>
              </w:rPr>
              <w:t>1</w:t>
            </w:r>
          </w:p>
        </w:tc>
        <w:tc>
          <w:tcPr>
            <w:tcW w:w="1559" w:type="dxa"/>
            <w:shd w:val="clear" w:color="auto" w:fill="FBD4B4" w:themeFill="accent6" w:themeFillTint="66"/>
            <w:vAlign w:val="center"/>
          </w:tcPr>
          <w:p w14:paraId="5622A909" w14:textId="77777777" w:rsidR="00DE6D8F" w:rsidRPr="00F66604" w:rsidRDefault="00DE6D8F" w:rsidP="00DE6D8F">
            <w:pPr>
              <w:jc w:val="center"/>
              <w:rPr>
                <w:rFonts w:cstheme="minorHAnsi"/>
              </w:rPr>
            </w:pPr>
          </w:p>
        </w:tc>
        <w:tc>
          <w:tcPr>
            <w:tcW w:w="1473" w:type="dxa"/>
            <w:shd w:val="clear" w:color="auto" w:fill="BFBFBF" w:themeFill="background1" w:themeFillShade="BF"/>
            <w:vAlign w:val="center"/>
          </w:tcPr>
          <w:p w14:paraId="0ABBA4A0" w14:textId="77777777" w:rsidR="00DE6D8F" w:rsidRPr="00F66604" w:rsidRDefault="00DE6D8F" w:rsidP="00DE6D8F">
            <w:pPr>
              <w:jc w:val="center"/>
              <w:rPr>
                <w:rFonts w:cstheme="minorHAnsi"/>
              </w:rPr>
            </w:pPr>
          </w:p>
        </w:tc>
      </w:tr>
      <w:tr w:rsidR="00DE6D8F" w:rsidRPr="00F66604" w14:paraId="274B96AE" w14:textId="77777777" w:rsidTr="00806879">
        <w:trPr>
          <w:trHeight w:val="410"/>
        </w:trPr>
        <w:tc>
          <w:tcPr>
            <w:tcW w:w="2660" w:type="dxa"/>
            <w:noWrap/>
            <w:vAlign w:val="center"/>
            <w:hideMark/>
          </w:tcPr>
          <w:p w14:paraId="3B3EBA99" w14:textId="77777777" w:rsidR="00DE6D8F" w:rsidRPr="00A228F3" w:rsidRDefault="00DE6D8F" w:rsidP="00DE6D8F">
            <w:pPr>
              <w:rPr>
                <w:rFonts w:cstheme="minorHAnsi"/>
                <w:sz w:val="20"/>
                <w:szCs w:val="20"/>
              </w:rPr>
            </w:pPr>
            <w:r w:rsidRPr="00A228F3">
              <w:rPr>
                <w:rFonts w:cstheme="minorHAnsi"/>
                <w:sz w:val="20"/>
                <w:szCs w:val="20"/>
              </w:rPr>
              <w:t xml:space="preserve">Parkoviště u </w:t>
            </w:r>
            <w:proofErr w:type="spellStart"/>
            <w:r w:rsidRPr="00A228F3">
              <w:rPr>
                <w:rFonts w:cstheme="minorHAnsi"/>
                <w:sz w:val="20"/>
                <w:szCs w:val="20"/>
              </w:rPr>
              <w:t>Šorejsů</w:t>
            </w:r>
            <w:proofErr w:type="spellEnd"/>
          </w:p>
        </w:tc>
        <w:tc>
          <w:tcPr>
            <w:tcW w:w="1276" w:type="dxa"/>
            <w:shd w:val="clear" w:color="auto" w:fill="CCFFFF"/>
            <w:noWrap/>
            <w:vAlign w:val="center"/>
            <w:hideMark/>
          </w:tcPr>
          <w:p w14:paraId="70896602" w14:textId="77777777" w:rsidR="00DE6D8F" w:rsidRPr="00F66604" w:rsidRDefault="00DE6D8F" w:rsidP="00DE6D8F">
            <w:pPr>
              <w:jc w:val="center"/>
              <w:rPr>
                <w:rFonts w:cstheme="minorHAnsi"/>
              </w:rPr>
            </w:pPr>
            <w:r w:rsidRPr="00F66604">
              <w:rPr>
                <w:rFonts w:cstheme="minorHAnsi"/>
              </w:rPr>
              <w:t>2</w:t>
            </w:r>
          </w:p>
        </w:tc>
        <w:tc>
          <w:tcPr>
            <w:tcW w:w="1559" w:type="dxa"/>
            <w:shd w:val="clear" w:color="auto" w:fill="CCFF99"/>
            <w:noWrap/>
            <w:vAlign w:val="center"/>
            <w:hideMark/>
          </w:tcPr>
          <w:p w14:paraId="621B402D" w14:textId="77777777" w:rsidR="00DE6D8F" w:rsidRPr="00F66604" w:rsidRDefault="00DE6D8F" w:rsidP="00DE6D8F">
            <w:pPr>
              <w:jc w:val="center"/>
              <w:rPr>
                <w:rFonts w:cstheme="minorHAnsi"/>
              </w:rPr>
            </w:pPr>
            <w:r w:rsidRPr="00F66604">
              <w:rPr>
                <w:rFonts w:cstheme="minorHAnsi"/>
              </w:rPr>
              <w:t>2</w:t>
            </w:r>
          </w:p>
        </w:tc>
        <w:tc>
          <w:tcPr>
            <w:tcW w:w="1701" w:type="dxa"/>
            <w:shd w:val="clear" w:color="auto" w:fill="FFFF00"/>
            <w:noWrap/>
            <w:vAlign w:val="center"/>
            <w:hideMark/>
          </w:tcPr>
          <w:p w14:paraId="4A79FC74" w14:textId="77777777" w:rsidR="00DE6D8F" w:rsidRPr="00F66604" w:rsidRDefault="00A228F3" w:rsidP="00DE6D8F">
            <w:pPr>
              <w:jc w:val="center"/>
              <w:rPr>
                <w:rFonts w:cstheme="minorHAnsi"/>
              </w:rPr>
            </w:pPr>
            <w:r>
              <w:rPr>
                <w:rFonts w:cstheme="minorHAnsi"/>
              </w:rPr>
              <w:t>2</w:t>
            </w:r>
          </w:p>
        </w:tc>
        <w:tc>
          <w:tcPr>
            <w:tcW w:w="1559" w:type="dxa"/>
            <w:shd w:val="clear" w:color="auto" w:fill="FBD4B4" w:themeFill="accent6" w:themeFillTint="66"/>
            <w:vAlign w:val="center"/>
          </w:tcPr>
          <w:p w14:paraId="44D6BC84" w14:textId="77777777" w:rsidR="00DE6D8F" w:rsidRPr="00F66604" w:rsidRDefault="00DE6D8F" w:rsidP="00DE6D8F">
            <w:pPr>
              <w:jc w:val="center"/>
              <w:rPr>
                <w:rFonts w:cstheme="minorHAnsi"/>
              </w:rPr>
            </w:pPr>
          </w:p>
        </w:tc>
        <w:tc>
          <w:tcPr>
            <w:tcW w:w="1473" w:type="dxa"/>
            <w:shd w:val="clear" w:color="auto" w:fill="BFBFBF" w:themeFill="background1" w:themeFillShade="BF"/>
            <w:vAlign w:val="center"/>
          </w:tcPr>
          <w:p w14:paraId="7D0AEDA4" w14:textId="77777777" w:rsidR="00DE6D8F" w:rsidRPr="00F66604" w:rsidRDefault="00DE6D8F" w:rsidP="00DE6D8F">
            <w:pPr>
              <w:jc w:val="center"/>
              <w:rPr>
                <w:rFonts w:cstheme="minorHAnsi"/>
              </w:rPr>
            </w:pPr>
          </w:p>
        </w:tc>
      </w:tr>
      <w:tr w:rsidR="00A228F3" w:rsidRPr="00F66604" w14:paraId="5A66CD7F" w14:textId="77777777" w:rsidTr="00806879">
        <w:trPr>
          <w:trHeight w:val="410"/>
        </w:trPr>
        <w:tc>
          <w:tcPr>
            <w:tcW w:w="2660" w:type="dxa"/>
            <w:noWrap/>
            <w:vAlign w:val="center"/>
          </w:tcPr>
          <w:p w14:paraId="19E04C7B" w14:textId="77777777" w:rsidR="00A228F3" w:rsidRPr="00A228F3" w:rsidRDefault="00A228F3" w:rsidP="00A228F3">
            <w:pPr>
              <w:rPr>
                <w:rFonts w:cstheme="minorHAnsi"/>
                <w:sz w:val="20"/>
                <w:szCs w:val="20"/>
              </w:rPr>
            </w:pPr>
            <w:r w:rsidRPr="00A228F3">
              <w:rPr>
                <w:rFonts w:cstheme="minorHAnsi"/>
                <w:sz w:val="20"/>
                <w:szCs w:val="20"/>
              </w:rPr>
              <w:t xml:space="preserve">Parkoviště u hotelu </w:t>
            </w:r>
            <w:proofErr w:type="spellStart"/>
            <w:r w:rsidRPr="00A228F3">
              <w:rPr>
                <w:rFonts w:cstheme="minorHAnsi"/>
                <w:sz w:val="20"/>
                <w:szCs w:val="20"/>
              </w:rPr>
              <w:t>Hlůže</w:t>
            </w:r>
            <w:proofErr w:type="spellEnd"/>
          </w:p>
        </w:tc>
        <w:tc>
          <w:tcPr>
            <w:tcW w:w="1276" w:type="dxa"/>
            <w:shd w:val="clear" w:color="auto" w:fill="CCFFFF"/>
            <w:noWrap/>
            <w:vAlign w:val="center"/>
          </w:tcPr>
          <w:p w14:paraId="4CE2D829" w14:textId="77777777" w:rsidR="00A228F3" w:rsidRDefault="00A228F3" w:rsidP="00DE6D8F">
            <w:pPr>
              <w:jc w:val="center"/>
              <w:rPr>
                <w:rFonts w:cstheme="minorHAnsi"/>
              </w:rPr>
            </w:pPr>
            <w:r>
              <w:rPr>
                <w:rFonts w:cstheme="minorHAnsi"/>
              </w:rPr>
              <w:t>1</w:t>
            </w:r>
          </w:p>
        </w:tc>
        <w:tc>
          <w:tcPr>
            <w:tcW w:w="1559" w:type="dxa"/>
            <w:shd w:val="clear" w:color="auto" w:fill="CCFF99"/>
            <w:noWrap/>
            <w:vAlign w:val="center"/>
          </w:tcPr>
          <w:p w14:paraId="358B6FB1" w14:textId="77777777" w:rsidR="00A228F3" w:rsidRDefault="00A228F3" w:rsidP="00DE6D8F">
            <w:pPr>
              <w:jc w:val="center"/>
              <w:rPr>
                <w:rFonts w:cstheme="minorHAnsi"/>
              </w:rPr>
            </w:pPr>
          </w:p>
        </w:tc>
        <w:tc>
          <w:tcPr>
            <w:tcW w:w="1701" w:type="dxa"/>
            <w:shd w:val="clear" w:color="auto" w:fill="FFFF00"/>
            <w:noWrap/>
            <w:vAlign w:val="center"/>
          </w:tcPr>
          <w:p w14:paraId="4148A820" w14:textId="77777777" w:rsidR="00A228F3" w:rsidRPr="00F66604" w:rsidRDefault="00A228F3" w:rsidP="00DE6D8F">
            <w:pPr>
              <w:jc w:val="center"/>
              <w:rPr>
                <w:rFonts w:cstheme="minorHAnsi"/>
              </w:rPr>
            </w:pPr>
            <w:r>
              <w:rPr>
                <w:rFonts w:cstheme="minorHAnsi"/>
              </w:rPr>
              <w:t>1</w:t>
            </w:r>
          </w:p>
        </w:tc>
        <w:tc>
          <w:tcPr>
            <w:tcW w:w="1559" w:type="dxa"/>
            <w:shd w:val="clear" w:color="auto" w:fill="FBD4B4" w:themeFill="accent6" w:themeFillTint="66"/>
            <w:vAlign w:val="center"/>
          </w:tcPr>
          <w:p w14:paraId="1B66B0C3" w14:textId="77777777" w:rsidR="00A228F3" w:rsidRPr="00F66604" w:rsidRDefault="00A228F3" w:rsidP="00DE6D8F">
            <w:pPr>
              <w:jc w:val="center"/>
              <w:rPr>
                <w:rFonts w:cstheme="minorHAnsi"/>
              </w:rPr>
            </w:pPr>
          </w:p>
        </w:tc>
        <w:tc>
          <w:tcPr>
            <w:tcW w:w="1473" w:type="dxa"/>
            <w:shd w:val="clear" w:color="auto" w:fill="BFBFBF" w:themeFill="background1" w:themeFillShade="BF"/>
            <w:vAlign w:val="center"/>
          </w:tcPr>
          <w:p w14:paraId="4D97FA36" w14:textId="77777777" w:rsidR="00A228F3" w:rsidRPr="00F66604" w:rsidRDefault="00A228F3" w:rsidP="00DE6D8F">
            <w:pPr>
              <w:jc w:val="center"/>
              <w:rPr>
                <w:rFonts w:cstheme="minorHAnsi"/>
              </w:rPr>
            </w:pPr>
          </w:p>
        </w:tc>
      </w:tr>
      <w:tr w:rsidR="00DE6D8F" w:rsidRPr="00F66604" w14:paraId="3C63D4C6" w14:textId="77777777" w:rsidTr="00806879">
        <w:trPr>
          <w:trHeight w:val="410"/>
        </w:trPr>
        <w:tc>
          <w:tcPr>
            <w:tcW w:w="2660" w:type="dxa"/>
            <w:noWrap/>
            <w:vAlign w:val="center"/>
            <w:hideMark/>
          </w:tcPr>
          <w:p w14:paraId="34E65FD9" w14:textId="77777777" w:rsidR="00DE6D8F" w:rsidRPr="00A228F3" w:rsidRDefault="00DE6D8F" w:rsidP="00A228F3">
            <w:pPr>
              <w:rPr>
                <w:rFonts w:cstheme="minorHAnsi"/>
                <w:sz w:val="20"/>
                <w:szCs w:val="20"/>
              </w:rPr>
            </w:pPr>
            <w:r w:rsidRPr="00A228F3">
              <w:rPr>
                <w:rFonts w:cstheme="minorHAnsi"/>
                <w:sz w:val="20"/>
                <w:szCs w:val="20"/>
              </w:rPr>
              <w:t>Bytov</w:t>
            </w:r>
            <w:r w:rsidR="00A228F3" w:rsidRPr="00A228F3">
              <w:rPr>
                <w:rFonts w:cstheme="minorHAnsi"/>
                <w:sz w:val="20"/>
                <w:szCs w:val="20"/>
              </w:rPr>
              <w:t>é domy</w:t>
            </w:r>
            <w:r w:rsidRPr="00A228F3">
              <w:rPr>
                <w:rFonts w:cstheme="minorHAnsi"/>
                <w:sz w:val="20"/>
                <w:szCs w:val="20"/>
              </w:rPr>
              <w:t xml:space="preserve"> Mezivodí</w:t>
            </w:r>
          </w:p>
        </w:tc>
        <w:tc>
          <w:tcPr>
            <w:tcW w:w="1276" w:type="dxa"/>
            <w:shd w:val="clear" w:color="auto" w:fill="CCFFFF"/>
            <w:noWrap/>
            <w:vAlign w:val="center"/>
            <w:hideMark/>
          </w:tcPr>
          <w:p w14:paraId="04F7D217" w14:textId="77777777" w:rsidR="00DE6D8F" w:rsidRPr="00F66604" w:rsidRDefault="00A228F3" w:rsidP="00DE6D8F">
            <w:pPr>
              <w:jc w:val="center"/>
              <w:rPr>
                <w:rFonts w:cstheme="minorHAnsi"/>
              </w:rPr>
            </w:pPr>
            <w:r>
              <w:rPr>
                <w:rFonts w:cstheme="minorHAnsi"/>
              </w:rPr>
              <w:t>1</w:t>
            </w:r>
          </w:p>
        </w:tc>
        <w:tc>
          <w:tcPr>
            <w:tcW w:w="1559" w:type="dxa"/>
            <w:shd w:val="clear" w:color="auto" w:fill="CCFF99"/>
            <w:noWrap/>
            <w:vAlign w:val="center"/>
            <w:hideMark/>
          </w:tcPr>
          <w:p w14:paraId="3243700F" w14:textId="77777777" w:rsidR="00DE6D8F" w:rsidRPr="00F66604" w:rsidRDefault="00A228F3" w:rsidP="00DE6D8F">
            <w:pPr>
              <w:jc w:val="center"/>
              <w:rPr>
                <w:rFonts w:cstheme="minorHAnsi"/>
              </w:rPr>
            </w:pPr>
            <w:r>
              <w:rPr>
                <w:rFonts w:cstheme="minorHAnsi"/>
              </w:rPr>
              <w:t>2</w:t>
            </w:r>
          </w:p>
        </w:tc>
        <w:tc>
          <w:tcPr>
            <w:tcW w:w="1701" w:type="dxa"/>
            <w:shd w:val="clear" w:color="auto" w:fill="FFFF00"/>
            <w:noWrap/>
            <w:vAlign w:val="center"/>
            <w:hideMark/>
          </w:tcPr>
          <w:p w14:paraId="602EAFA9"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FBD4B4" w:themeFill="accent6" w:themeFillTint="66"/>
            <w:vAlign w:val="center"/>
          </w:tcPr>
          <w:p w14:paraId="7A15D9C8" w14:textId="77777777" w:rsidR="00DE6D8F" w:rsidRPr="00F66604" w:rsidRDefault="00DE6D8F" w:rsidP="00DE6D8F">
            <w:pPr>
              <w:jc w:val="center"/>
              <w:rPr>
                <w:rFonts w:cstheme="minorHAnsi"/>
              </w:rPr>
            </w:pPr>
          </w:p>
        </w:tc>
        <w:tc>
          <w:tcPr>
            <w:tcW w:w="1473" w:type="dxa"/>
            <w:shd w:val="clear" w:color="auto" w:fill="BFBFBF" w:themeFill="background1" w:themeFillShade="BF"/>
            <w:vAlign w:val="center"/>
          </w:tcPr>
          <w:p w14:paraId="3350C35F" w14:textId="77777777" w:rsidR="00DE6D8F" w:rsidRPr="00F66604" w:rsidRDefault="00DE6D8F" w:rsidP="00DE6D8F">
            <w:pPr>
              <w:jc w:val="center"/>
              <w:rPr>
                <w:rFonts w:cstheme="minorHAnsi"/>
              </w:rPr>
            </w:pPr>
          </w:p>
        </w:tc>
      </w:tr>
      <w:tr w:rsidR="00DE6D8F" w:rsidRPr="00F66604" w14:paraId="0F519CC1" w14:textId="77777777" w:rsidTr="00806879">
        <w:trPr>
          <w:trHeight w:val="410"/>
        </w:trPr>
        <w:tc>
          <w:tcPr>
            <w:tcW w:w="2660" w:type="dxa"/>
            <w:noWrap/>
            <w:vAlign w:val="center"/>
            <w:hideMark/>
          </w:tcPr>
          <w:p w14:paraId="5CE691C9" w14:textId="77777777" w:rsidR="00DE6D8F" w:rsidRPr="00A228F3" w:rsidRDefault="00DE6D8F" w:rsidP="00DE6D8F">
            <w:pPr>
              <w:tabs>
                <w:tab w:val="center" w:pos="1026"/>
              </w:tabs>
              <w:rPr>
                <w:rFonts w:cstheme="minorHAnsi"/>
                <w:sz w:val="20"/>
                <w:szCs w:val="20"/>
              </w:rPr>
            </w:pPr>
            <w:r w:rsidRPr="00A228F3">
              <w:rPr>
                <w:rFonts w:cstheme="minorHAnsi"/>
                <w:sz w:val="20"/>
                <w:szCs w:val="20"/>
              </w:rPr>
              <w:t>Kolonka</w:t>
            </w:r>
            <w:r w:rsidR="00A228F3" w:rsidRPr="00A228F3">
              <w:rPr>
                <w:rFonts w:cstheme="minorHAnsi"/>
                <w:sz w:val="20"/>
                <w:szCs w:val="20"/>
              </w:rPr>
              <w:t xml:space="preserve"> Svárov</w:t>
            </w:r>
          </w:p>
        </w:tc>
        <w:tc>
          <w:tcPr>
            <w:tcW w:w="1276" w:type="dxa"/>
            <w:shd w:val="clear" w:color="auto" w:fill="CCFFFF"/>
            <w:noWrap/>
            <w:vAlign w:val="center"/>
            <w:hideMark/>
          </w:tcPr>
          <w:p w14:paraId="1473AE67"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CCFF99"/>
            <w:noWrap/>
            <w:vAlign w:val="center"/>
            <w:hideMark/>
          </w:tcPr>
          <w:p w14:paraId="34F66BDA" w14:textId="77777777" w:rsidR="00DE6D8F" w:rsidRPr="00F66604" w:rsidRDefault="00DE6D8F" w:rsidP="00DE6D8F">
            <w:pPr>
              <w:jc w:val="center"/>
              <w:rPr>
                <w:rFonts w:cstheme="minorHAnsi"/>
              </w:rPr>
            </w:pPr>
            <w:r w:rsidRPr="00F66604">
              <w:rPr>
                <w:rFonts w:cstheme="minorHAnsi"/>
              </w:rPr>
              <w:t>1</w:t>
            </w:r>
          </w:p>
        </w:tc>
        <w:tc>
          <w:tcPr>
            <w:tcW w:w="1701" w:type="dxa"/>
            <w:shd w:val="clear" w:color="auto" w:fill="FFFF00"/>
            <w:noWrap/>
            <w:vAlign w:val="center"/>
            <w:hideMark/>
          </w:tcPr>
          <w:p w14:paraId="6C945A24"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FBD4B4" w:themeFill="accent6" w:themeFillTint="66"/>
            <w:vAlign w:val="center"/>
          </w:tcPr>
          <w:p w14:paraId="12531004" w14:textId="77777777" w:rsidR="00DE6D8F" w:rsidRPr="00F66604" w:rsidRDefault="00DE6D8F" w:rsidP="00DE6D8F">
            <w:pPr>
              <w:jc w:val="center"/>
              <w:rPr>
                <w:rFonts w:cstheme="minorHAnsi"/>
              </w:rPr>
            </w:pPr>
          </w:p>
        </w:tc>
        <w:tc>
          <w:tcPr>
            <w:tcW w:w="1473" w:type="dxa"/>
            <w:shd w:val="clear" w:color="auto" w:fill="BFBFBF" w:themeFill="background1" w:themeFillShade="BF"/>
            <w:vAlign w:val="center"/>
          </w:tcPr>
          <w:p w14:paraId="179A2386" w14:textId="77777777" w:rsidR="00DE6D8F" w:rsidRPr="00F66604" w:rsidRDefault="00DE6D8F" w:rsidP="00DE6D8F">
            <w:pPr>
              <w:jc w:val="center"/>
              <w:rPr>
                <w:rFonts w:cstheme="minorHAnsi"/>
              </w:rPr>
            </w:pPr>
          </w:p>
        </w:tc>
      </w:tr>
      <w:tr w:rsidR="00DE6D8F" w:rsidRPr="00F66604" w14:paraId="0F0CC451" w14:textId="77777777" w:rsidTr="00806879">
        <w:trPr>
          <w:trHeight w:val="410"/>
        </w:trPr>
        <w:tc>
          <w:tcPr>
            <w:tcW w:w="2660" w:type="dxa"/>
            <w:noWrap/>
            <w:vAlign w:val="center"/>
            <w:hideMark/>
          </w:tcPr>
          <w:p w14:paraId="48F7601F" w14:textId="77777777" w:rsidR="00DE6D8F" w:rsidRPr="00A228F3" w:rsidRDefault="00DE6D8F" w:rsidP="00DE6D8F">
            <w:pPr>
              <w:rPr>
                <w:rFonts w:cstheme="minorHAnsi"/>
                <w:sz w:val="20"/>
                <w:szCs w:val="20"/>
              </w:rPr>
            </w:pPr>
            <w:r w:rsidRPr="00A228F3">
              <w:rPr>
                <w:rFonts w:cstheme="minorHAnsi"/>
                <w:sz w:val="20"/>
                <w:szCs w:val="20"/>
              </w:rPr>
              <w:t>Lidový dům</w:t>
            </w:r>
          </w:p>
        </w:tc>
        <w:tc>
          <w:tcPr>
            <w:tcW w:w="1276" w:type="dxa"/>
            <w:shd w:val="clear" w:color="auto" w:fill="CCFFFF"/>
            <w:noWrap/>
            <w:vAlign w:val="center"/>
            <w:hideMark/>
          </w:tcPr>
          <w:p w14:paraId="552F4E17"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CCFF99"/>
            <w:noWrap/>
            <w:vAlign w:val="center"/>
            <w:hideMark/>
          </w:tcPr>
          <w:p w14:paraId="12D3B77A" w14:textId="77777777" w:rsidR="00DE6D8F" w:rsidRPr="00F66604" w:rsidRDefault="00DE6D8F" w:rsidP="00DE6D8F">
            <w:pPr>
              <w:jc w:val="center"/>
              <w:rPr>
                <w:rFonts w:cstheme="minorHAnsi"/>
              </w:rPr>
            </w:pPr>
            <w:r w:rsidRPr="00F66604">
              <w:rPr>
                <w:rFonts w:cstheme="minorHAnsi"/>
              </w:rPr>
              <w:t>1</w:t>
            </w:r>
          </w:p>
        </w:tc>
        <w:tc>
          <w:tcPr>
            <w:tcW w:w="1701" w:type="dxa"/>
            <w:shd w:val="clear" w:color="auto" w:fill="FFFF00"/>
            <w:noWrap/>
            <w:vAlign w:val="center"/>
            <w:hideMark/>
          </w:tcPr>
          <w:p w14:paraId="5F32851B"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FBD4B4" w:themeFill="accent6" w:themeFillTint="66"/>
            <w:vAlign w:val="center"/>
          </w:tcPr>
          <w:p w14:paraId="30294915" w14:textId="77777777" w:rsidR="00DE6D8F" w:rsidRPr="00F66604" w:rsidRDefault="00DE6D8F" w:rsidP="00DE6D8F">
            <w:pPr>
              <w:jc w:val="center"/>
              <w:rPr>
                <w:rFonts w:cstheme="minorHAnsi"/>
              </w:rPr>
            </w:pPr>
          </w:p>
        </w:tc>
        <w:tc>
          <w:tcPr>
            <w:tcW w:w="1473" w:type="dxa"/>
            <w:shd w:val="clear" w:color="auto" w:fill="BFBFBF" w:themeFill="background1" w:themeFillShade="BF"/>
            <w:vAlign w:val="center"/>
          </w:tcPr>
          <w:p w14:paraId="3AE5702A" w14:textId="77777777" w:rsidR="00DE6D8F" w:rsidRPr="00F66604" w:rsidRDefault="00DE6D8F" w:rsidP="00DE6D8F">
            <w:pPr>
              <w:jc w:val="center"/>
              <w:rPr>
                <w:rFonts w:cstheme="minorHAnsi"/>
              </w:rPr>
            </w:pPr>
          </w:p>
        </w:tc>
      </w:tr>
      <w:tr w:rsidR="00A228F3" w:rsidRPr="00F66604" w14:paraId="7229E833" w14:textId="77777777" w:rsidTr="00806879">
        <w:trPr>
          <w:trHeight w:val="410"/>
        </w:trPr>
        <w:tc>
          <w:tcPr>
            <w:tcW w:w="2660" w:type="dxa"/>
            <w:noWrap/>
            <w:vAlign w:val="center"/>
          </w:tcPr>
          <w:p w14:paraId="77D40EB8" w14:textId="77777777" w:rsidR="00A228F3" w:rsidRPr="00A228F3" w:rsidRDefault="00A228F3" w:rsidP="00DE6D8F">
            <w:pPr>
              <w:rPr>
                <w:rFonts w:cstheme="minorHAnsi"/>
                <w:sz w:val="20"/>
                <w:szCs w:val="20"/>
              </w:rPr>
            </w:pPr>
            <w:r w:rsidRPr="00A228F3">
              <w:rPr>
                <w:rFonts w:cstheme="minorHAnsi"/>
                <w:sz w:val="20"/>
                <w:szCs w:val="20"/>
              </w:rPr>
              <w:t>Požární zbrojnice Velké Hamry I</w:t>
            </w:r>
          </w:p>
        </w:tc>
        <w:tc>
          <w:tcPr>
            <w:tcW w:w="1276" w:type="dxa"/>
            <w:shd w:val="clear" w:color="auto" w:fill="CCFFFF"/>
            <w:noWrap/>
            <w:vAlign w:val="center"/>
          </w:tcPr>
          <w:p w14:paraId="1D45AAFF" w14:textId="77777777" w:rsidR="00A228F3" w:rsidRPr="00F66604" w:rsidRDefault="00A228F3" w:rsidP="00DE6D8F">
            <w:pPr>
              <w:jc w:val="center"/>
              <w:rPr>
                <w:rFonts w:cstheme="minorHAnsi"/>
              </w:rPr>
            </w:pPr>
            <w:r>
              <w:rPr>
                <w:rFonts w:cstheme="minorHAnsi"/>
              </w:rPr>
              <w:t>1</w:t>
            </w:r>
          </w:p>
        </w:tc>
        <w:tc>
          <w:tcPr>
            <w:tcW w:w="1559" w:type="dxa"/>
            <w:shd w:val="clear" w:color="auto" w:fill="CCFF99"/>
            <w:noWrap/>
            <w:vAlign w:val="center"/>
          </w:tcPr>
          <w:p w14:paraId="14BDBFBF" w14:textId="77777777" w:rsidR="00A228F3" w:rsidRDefault="00A228F3" w:rsidP="00DE6D8F">
            <w:pPr>
              <w:jc w:val="center"/>
              <w:rPr>
                <w:rFonts w:cstheme="minorHAnsi"/>
              </w:rPr>
            </w:pPr>
            <w:r>
              <w:rPr>
                <w:rFonts w:cstheme="minorHAnsi"/>
              </w:rPr>
              <w:t>1</w:t>
            </w:r>
          </w:p>
        </w:tc>
        <w:tc>
          <w:tcPr>
            <w:tcW w:w="1701" w:type="dxa"/>
            <w:shd w:val="clear" w:color="auto" w:fill="FFFF00"/>
            <w:noWrap/>
            <w:vAlign w:val="center"/>
          </w:tcPr>
          <w:p w14:paraId="4E71C453" w14:textId="77777777" w:rsidR="00A228F3" w:rsidRPr="00F66604" w:rsidRDefault="00A228F3" w:rsidP="00DE6D8F">
            <w:pPr>
              <w:jc w:val="center"/>
              <w:rPr>
                <w:rFonts w:cstheme="minorHAnsi"/>
              </w:rPr>
            </w:pPr>
            <w:r>
              <w:rPr>
                <w:rFonts w:cstheme="minorHAnsi"/>
              </w:rPr>
              <w:t>1</w:t>
            </w:r>
          </w:p>
        </w:tc>
        <w:tc>
          <w:tcPr>
            <w:tcW w:w="1559" w:type="dxa"/>
            <w:shd w:val="clear" w:color="auto" w:fill="FBD4B4" w:themeFill="accent6" w:themeFillTint="66"/>
            <w:vAlign w:val="center"/>
          </w:tcPr>
          <w:p w14:paraId="7D8577FE" w14:textId="77777777" w:rsidR="00A228F3" w:rsidRPr="00F66604" w:rsidRDefault="00A228F3" w:rsidP="00DE6D8F">
            <w:pPr>
              <w:jc w:val="center"/>
              <w:rPr>
                <w:rFonts w:cstheme="minorHAnsi"/>
              </w:rPr>
            </w:pPr>
          </w:p>
        </w:tc>
        <w:tc>
          <w:tcPr>
            <w:tcW w:w="1473" w:type="dxa"/>
            <w:shd w:val="clear" w:color="auto" w:fill="BFBFBF" w:themeFill="background1" w:themeFillShade="BF"/>
            <w:vAlign w:val="center"/>
          </w:tcPr>
          <w:p w14:paraId="0459554C" w14:textId="77777777" w:rsidR="00A228F3" w:rsidRPr="00F66604" w:rsidRDefault="00A228F3" w:rsidP="00DE6D8F">
            <w:pPr>
              <w:jc w:val="center"/>
              <w:rPr>
                <w:rFonts w:cstheme="minorHAnsi"/>
              </w:rPr>
            </w:pPr>
          </w:p>
        </w:tc>
      </w:tr>
      <w:tr w:rsidR="00DE6D8F" w:rsidRPr="00F66604" w14:paraId="23C1A354" w14:textId="77777777" w:rsidTr="00806879">
        <w:trPr>
          <w:trHeight w:val="410"/>
        </w:trPr>
        <w:tc>
          <w:tcPr>
            <w:tcW w:w="2660" w:type="dxa"/>
            <w:noWrap/>
            <w:vAlign w:val="center"/>
            <w:hideMark/>
          </w:tcPr>
          <w:p w14:paraId="4CBDD115" w14:textId="77777777" w:rsidR="00DE6D8F" w:rsidRPr="00A228F3" w:rsidRDefault="00DE6D8F" w:rsidP="00DE6D8F">
            <w:pPr>
              <w:rPr>
                <w:rFonts w:cstheme="minorHAnsi"/>
                <w:sz w:val="20"/>
                <w:szCs w:val="20"/>
              </w:rPr>
            </w:pPr>
            <w:r w:rsidRPr="00A228F3">
              <w:rPr>
                <w:rFonts w:cstheme="minorHAnsi"/>
                <w:sz w:val="20"/>
                <w:szCs w:val="20"/>
              </w:rPr>
              <w:t>Kulturní dům V Bohdalovicích</w:t>
            </w:r>
          </w:p>
        </w:tc>
        <w:tc>
          <w:tcPr>
            <w:tcW w:w="1276" w:type="dxa"/>
            <w:shd w:val="clear" w:color="auto" w:fill="CCFFFF"/>
            <w:noWrap/>
            <w:vAlign w:val="center"/>
            <w:hideMark/>
          </w:tcPr>
          <w:p w14:paraId="290AE37A"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CCFF99"/>
            <w:noWrap/>
            <w:vAlign w:val="center"/>
            <w:hideMark/>
          </w:tcPr>
          <w:p w14:paraId="21C598C9" w14:textId="77777777" w:rsidR="00DE6D8F" w:rsidRPr="00F66604" w:rsidRDefault="00A228F3" w:rsidP="00DE6D8F">
            <w:pPr>
              <w:jc w:val="center"/>
              <w:rPr>
                <w:rFonts w:cstheme="minorHAnsi"/>
              </w:rPr>
            </w:pPr>
            <w:r>
              <w:rPr>
                <w:rFonts w:cstheme="minorHAnsi"/>
              </w:rPr>
              <w:t>2</w:t>
            </w:r>
          </w:p>
        </w:tc>
        <w:tc>
          <w:tcPr>
            <w:tcW w:w="1701" w:type="dxa"/>
            <w:shd w:val="clear" w:color="auto" w:fill="FFFF00"/>
            <w:noWrap/>
            <w:vAlign w:val="center"/>
            <w:hideMark/>
          </w:tcPr>
          <w:p w14:paraId="34832C37"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FBD4B4" w:themeFill="accent6" w:themeFillTint="66"/>
            <w:vAlign w:val="center"/>
          </w:tcPr>
          <w:p w14:paraId="2744019D" w14:textId="77777777" w:rsidR="00DE6D8F" w:rsidRPr="00F66604" w:rsidRDefault="00DE6D8F" w:rsidP="00DE6D8F">
            <w:pPr>
              <w:jc w:val="center"/>
              <w:rPr>
                <w:rFonts w:cstheme="minorHAnsi"/>
              </w:rPr>
            </w:pPr>
          </w:p>
        </w:tc>
        <w:tc>
          <w:tcPr>
            <w:tcW w:w="1473" w:type="dxa"/>
            <w:shd w:val="clear" w:color="auto" w:fill="BFBFBF" w:themeFill="background1" w:themeFillShade="BF"/>
            <w:vAlign w:val="center"/>
          </w:tcPr>
          <w:p w14:paraId="76FEB062" w14:textId="77777777" w:rsidR="00DE6D8F" w:rsidRPr="00F66604" w:rsidRDefault="00DE6D8F" w:rsidP="00DE6D8F">
            <w:pPr>
              <w:jc w:val="center"/>
              <w:rPr>
                <w:rFonts w:cstheme="minorHAnsi"/>
              </w:rPr>
            </w:pPr>
          </w:p>
        </w:tc>
      </w:tr>
      <w:tr w:rsidR="00DE6D8F" w:rsidRPr="00F66604" w14:paraId="2C2D1B27" w14:textId="77777777" w:rsidTr="00806879">
        <w:trPr>
          <w:trHeight w:val="410"/>
        </w:trPr>
        <w:tc>
          <w:tcPr>
            <w:tcW w:w="2660" w:type="dxa"/>
            <w:noWrap/>
            <w:vAlign w:val="center"/>
          </w:tcPr>
          <w:p w14:paraId="56A38D94" w14:textId="77777777" w:rsidR="00DE6D8F" w:rsidRPr="00A228F3" w:rsidRDefault="00DE6D8F" w:rsidP="00DE6D8F">
            <w:pPr>
              <w:tabs>
                <w:tab w:val="center" w:pos="1026"/>
              </w:tabs>
              <w:rPr>
                <w:rFonts w:cstheme="minorHAnsi"/>
                <w:sz w:val="20"/>
                <w:szCs w:val="20"/>
              </w:rPr>
            </w:pPr>
            <w:r w:rsidRPr="00A228F3">
              <w:rPr>
                <w:rFonts w:cstheme="minorHAnsi"/>
                <w:sz w:val="20"/>
                <w:szCs w:val="20"/>
              </w:rPr>
              <w:t>Sokolovna Velké Hamry II</w:t>
            </w:r>
          </w:p>
        </w:tc>
        <w:tc>
          <w:tcPr>
            <w:tcW w:w="1276" w:type="dxa"/>
            <w:shd w:val="clear" w:color="auto" w:fill="CCFFFF"/>
            <w:noWrap/>
            <w:vAlign w:val="center"/>
          </w:tcPr>
          <w:p w14:paraId="5B7B4C38"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CCFF99"/>
            <w:noWrap/>
            <w:vAlign w:val="center"/>
          </w:tcPr>
          <w:p w14:paraId="2427D7F0" w14:textId="77777777" w:rsidR="00DE6D8F" w:rsidRPr="00F66604" w:rsidRDefault="00DE6D8F" w:rsidP="00DE6D8F">
            <w:pPr>
              <w:jc w:val="center"/>
              <w:rPr>
                <w:rFonts w:cstheme="minorHAnsi"/>
              </w:rPr>
            </w:pPr>
            <w:r w:rsidRPr="00F66604">
              <w:rPr>
                <w:rFonts w:cstheme="minorHAnsi"/>
              </w:rPr>
              <w:t>1</w:t>
            </w:r>
          </w:p>
        </w:tc>
        <w:tc>
          <w:tcPr>
            <w:tcW w:w="1701" w:type="dxa"/>
            <w:shd w:val="clear" w:color="auto" w:fill="FFFF00"/>
            <w:noWrap/>
            <w:vAlign w:val="center"/>
          </w:tcPr>
          <w:p w14:paraId="2793D2A1"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FBD4B4" w:themeFill="accent6" w:themeFillTint="66"/>
            <w:vAlign w:val="center"/>
          </w:tcPr>
          <w:p w14:paraId="6D04260E" w14:textId="77777777" w:rsidR="00DE6D8F" w:rsidRPr="00F66604" w:rsidRDefault="00DE6D8F" w:rsidP="00DE6D8F">
            <w:pPr>
              <w:jc w:val="center"/>
              <w:rPr>
                <w:rFonts w:cstheme="minorHAnsi"/>
              </w:rPr>
            </w:pPr>
          </w:p>
        </w:tc>
        <w:tc>
          <w:tcPr>
            <w:tcW w:w="1473" w:type="dxa"/>
            <w:shd w:val="clear" w:color="auto" w:fill="BFBFBF" w:themeFill="background1" w:themeFillShade="BF"/>
            <w:vAlign w:val="center"/>
          </w:tcPr>
          <w:p w14:paraId="5334D06F" w14:textId="77777777" w:rsidR="00DE6D8F" w:rsidRPr="00F66604" w:rsidRDefault="00DE6D8F" w:rsidP="00DE6D8F">
            <w:pPr>
              <w:jc w:val="center"/>
              <w:rPr>
                <w:rFonts w:cstheme="minorHAnsi"/>
              </w:rPr>
            </w:pPr>
          </w:p>
        </w:tc>
      </w:tr>
      <w:tr w:rsidR="00DE6D8F" w:rsidRPr="00F66604" w14:paraId="41E8A55D" w14:textId="77777777" w:rsidTr="00806879">
        <w:trPr>
          <w:trHeight w:val="410"/>
        </w:trPr>
        <w:tc>
          <w:tcPr>
            <w:tcW w:w="2660" w:type="dxa"/>
            <w:noWrap/>
            <w:vAlign w:val="center"/>
          </w:tcPr>
          <w:p w14:paraId="59775F10" w14:textId="77777777" w:rsidR="00DE6D8F" w:rsidRPr="00A228F3" w:rsidRDefault="00F66604" w:rsidP="00DE6D8F">
            <w:pPr>
              <w:rPr>
                <w:rFonts w:cstheme="minorHAnsi"/>
                <w:sz w:val="20"/>
                <w:szCs w:val="20"/>
              </w:rPr>
            </w:pPr>
            <w:r w:rsidRPr="00A228F3">
              <w:rPr>
                <w:rFonts w:cstheme="minorHAnsi"/>
                <w:sz w:val="20"/>
                <w:szCs w:val="20"/>
              </w:rPr>
              <w:t>Požární zbrojnice</w:t>
            </w:r>
            <w:r w:rsidR="00DE6D8F" w:rsidRPr="00A228F3">
              <w:rPr>
                <w:rFonts w:cstheme="minorHAnsi"/>
                <w:sz w:val="20"/>
                <w:szCs w:val="20"/>
              </w:rPr>
              <w:t xml:space="preserve"> Velké Hamry II</w:t>
            </w:r>
          </w:p>
        </w:tc>
        <w:tc>
          <w:tcPr>
            <w:tcW w:w="1276" w:type="dxa"/>
            <w:shd w:val="clear" w:color="auto" w:fill="CCFFFF"/>
            <w:noWrap/>
            <w:vAlign w:val="center"/>
          </w:tcPr>
          <w:p w14:paraId="5386D5FB"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CCFF99"/>
            <w:noWrap/>
            <w:vAlign w:val="center"/>
          </w:tcPr>
          <w:p w14:paraId="76CBF0F9" w14:textId="77777777" w:rsidR="00DE6D8F" w:rsidRPr="00F66604" w:rsidRDefault="00DE6D8F" w:rsidP="00DE6D8F">
            <w:pPr>
              <w:jc w:val="center"/>
              <w:rPr>
                <w:rFonts w:cstheme="minorHAnsi"/>
              </w:rPr>
            </w:pPr>
            <w:r w:rsidRPr="00F66604">
              <w:rPr>
                <w:rFonts w:cstheme="minorHAnsi"/>
              </w:rPr>
              <w:t>1</w:t>
            </w:r>
          </w:p>
        </w:tc>
        <w:tc>
          <w:tcPr>
            <w:tcW w:w="1701" w:type="dxa"/>
            <w:shd w:val="clear" w:color="auto" w:fill="FFFF00"/>
            <w:noWrap/>
            <w:vAlign w:val="center"/>
          </w:tcPr>
          <w:p w14:paraId="08E864CA" w14:textId="77777777" w:rsidR="00DE6D8F" w:rsidRPr="00F66604" w:rsidRDefault="00DE6D8F" w:rsidP="00DE6D8F">
            <w:pPr>
              <w:jc w:val="center"/>
              <w:rPr>
                <w:rFonts w:cstheme="minorHAnsi"/>
              </w:rPr>
            </w:pPr>
            <w:r w:rsidRPr="00F66604">
              <w:rPr>
                <w:rFonts w:cstheme="minorHAnsi"/>
              </w:rPr>
              <w:t>1</w:t>
            </w:r>
          </w:p>
        </w:tc>
        <w:tc>
          <w:tcPr>
            <w:tcW w:w="1559" w:type="dxa"/>
            <w:shd w:val="clear" w:color="auto" w:fill="FBD4B4" w:themeFill="accent6" w:themeFillTint="66"/>
            <w:vAlign w:val="center"/>
          </w:tcPr>
          <w:p w14:paraId="566F5540" w14:textId="77777777" w:rsidR="00DE6D8F" w:rsidRPr="00F66604" w:rsidRDefault="00DE6D8F" w:rsidP="00DE6D8F">
            <w:pPr>
              <w:jc w:val="center"/>
              <w:rPr>
                <w:rFonts w:cstheme="minorHAnsi"/>
              </w:rPr>
            </w:pPr>
          </w:p>
        </w:tc>
        <w:tc>
          <w:tcPr>
            <w:tcW w:w="1473" w:type="dxa"/>
            <w:shd w:val="clear" w:color="auto" w:fill="BFBFBF" w:themeFill="background1" w:themeFillShade="BF"/>
            <w:vAlign w:val="center"/>
          </w:tcPr>
          <w:p w14:paraId="0826571D" w14:textId="77777777" w:rsidR="00DE6D8F" w:rsidRPr="00F66604" w:rsidRDefault="00DE6D8F" w:rsidP="00DE6D8F">
            <w:pPr>
              <w:jc w:val="center"/>
              <w:rPr>
                <w:rFonts w:cstheme="minorHAnsi"/>
              </w:rPr>
            </w:pPr>
          </w:p>
        </w:tc>
      </w:tr>
    </w:tbl>
    <w:p w14:paraId="151CB29C" w14:textId="77777777" w:rsidR="00DE6D8F" w:rsidRPr="00DE6D8F" w:rsidRDefault="00DE6D8F" w:rsidP="00DE6D8F">
      <w:pPr>
        <w:tabs>
          <w:tab w:val="left" w:pos="1080"/>
          <w:tab w:val="left" w:pos="7020"/>
        </w:tabs>
        <w:spacing w:after="0" w:line="240" w:lineRule="auto"/>
        <w:rPr>
          <w:rFonts w:ascii="Arial" w:eastAsia="Times New Roman" w:hAnsi="Arial" w:cs="Arial"/>
          <w:sz w:val="24"/>
          <w:szCs w:val="24"/>
        </w:rPr>
      </w:pPr>
    </w:p>
    <w:p w14:paraId="08FCCBA3" w14:textId="77777777" w:rsidR="00085DF1" w:rsidRDefault="00085DF1"/>
    <w:sectPr w:rsidR="00085DF1" w:rsidSect="00806879">
      <w:pgSz w:w="12240" w:h="15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16AF" w14:textId="77777777" w:rsidR="00271A24" w:rsidRDefault="00271A24" w:rsidP="00DE6D8F">
      <w:pPr>
        <w:spacing w:after="0" w:line="240" w:lineRule="auto"/>
      </w:pPr>
      <w:r>
        <w:separator/>
      </w:r>
    </w:p>
  </w:endnote>
  <w:endnote w:type="continuationSeparator" w:id="0">
    <w:p w14:paraId="171B82CF" w14:textId="77777777" w:rsidR="00271A24" w:rsidRDefault="00271A24" w:rsidP="00DE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06D7" w14:textId="77777777" w:rsidR="00271A24" w:rsidRDefault="00271A24" w:rsidP="00DE6D8F">
      <w:pPr>
        <w:spacing w:after="0" w:line="240" w:lineRule="auto"/>
      </w:pPr>
      <w:r>
        <w:separator/>
      </w:r>
    </w:p>
  </w:footnote>
  <w:footnote w:type="continuationSeparator" w:id="0">
    <w:p w14:paraId="16B6F159" w14:textId="77777777" w:rsidR="00271A24" w:rsidRDefault="00271A24" w:rsidP="00DE6D8F">
      <w:pPr>
        <w:spacing w:after="0" w:line="240" w:lineRule="auto"/>
      </w:pPr>
      <w:r>
        <w:continuationSeparator/>
      </w:r>
    </w:p>
  </w:footnote>
  <w:footnote w:id="1">
    <w:p w14:paraId="1C1F704D" w14:textId="77777777" w:rsidR="003A41B2" w:rsidRDefault="003A41B2">
      <w:pPr>
        <w:pStyle w:val="Textpoznpodarou"/>
      </w:pPr>
      <w:r>
        <w:rPr>
          <w:rStyle w:val="Znakapoznpodarou"/>
        </w:rPr>
        <w:footnoteRef/>
      </w:r>
      <w:r>
        <w:t xml:space="preserve"> § 61 zákona o odpadech</w:t>
      </w:r>
    </w:p>
  </w:footnote>
  <w:footnote w:id="2">
    <w:p w14:paraId="7D23F876" w14:textId="77777777" w:rsidR="003A41B2" w:rsidRDefault="003A41B2">
      <w:pPr>
        <w:pStyle w:val="Textpoznpodarou"/>
      </w:pPr>
      <w:r>
        <w:rPr>
          <w:rStyle w:val="Znakapoznpodarou"/>
        </w:rPr>
        <w:footnoteRef/>
      </w:r>
      <w:r>
        <w:t xml:space="preserve"> § 60 zákona o odpadech</w:t>
      </w:r>
    </w:p>
  </w:footnote>
  <w:footnote w:id="3">
    <w:p w14:paraId="67FFB370" w14:textId="77777777" w:rsidR="00DC03DE" w:rsidRDefault="00DC03DE">
      <w:pPr>
        <w:pStyle w:val="Textpoznpodarou"/>
      </w:pPr>
      <w:r>
        <w:rPr>
          <w:rStyle w:val="Znakapoznpodarou"/>
        </w:rPr>
        <w:footnoteRef/>
      </w:r>
      <w:r>
        <w:t xml:space="preserve"> § 16 zákona č. 542/2020 Sb.</w:t>
      </w:r>
    </w:p>
  </w:footnote>
  <w:footnote w:id="4">
    <w:p w14:paraId="5793B12B" w14:textId="77777777" w:rsidR="00A228F3" w:rsidRDefault="00A228F3">
      <w:pPr>
        <w:pStyle w:val="Textpoznpodarou"/>
      </w:pPr>
      <w:r>
        <w:rPr>
          <w:rStyle w:val="Znakapoznpodarou"/>
        </w:rPr>
        <w:footnoteRef/>
      </w:r>
      <w:r>
        <w:t xml:space="preserve"> Plasty, PET lahve, nápojové kartony a kovy se vkládají do společného kontejneru. Jednotlivé složky je tak nutné vkládat v samostatných pytlích či taškách, </w:t>
      </w:r>
      <w:r w:rsidR="00797C32">
        <w:t>aby nedocházelo k mísení odpadu viz čl. 3 odst. 6 vyhlášky.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503FD0"/>
    <w:multiLevelType w:val="hybridMultilevel"/>
    <w:tmpl w:val="312263EC"/>
    <w:lvl w:ilvl="0" w:tplc="D652B744">
      <w:start w:val="1"/>
      <w:numFmt w:val="lowerLetter"/>
      <w:pStyle w:val="Nadpis1"/>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90B159D"/>
    <w:multiLevelType w:val="hybridMultilevel"/>
    <w:tmpl w:val="353E00BC"/>
    <w:lvl w:ilvl="0" w:tplc="65909E0C">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B5332C"/>
    <w:multiLevelType w:val="hybridMultilevel"/>
    <w:tmpl w:val="C5E46CEE"/>
    <w:lvl w:ilvl="0" w:tplc="D9B239D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BD19DC"/>
    <w:multiLevelType w:val="hybridMultilevel"/>
    <w:tmpl w:val="F2C2A8EE"/>
    <w:lvl w:ilvl="0" w:tplc="552E4408">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103D08"/>
    <w:multiLevelType w:val="hybridMultilevel"/>
    <w:tmpl w:val="9E8AB60E"/>
    <w:lvl w:ilvl="0" w:tplc="0590B8DE">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1D4327A"/>
    <w:multiLevelType w:val="hybridMultilevel"/>
    <w:tmpl w:val="353E00BC"/>
    <w:lvl w:ilvl="0" w:tplc="65909E0C">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3D3A50"/>
    <w:multiLevelType w:val="hybridMultilevel"/>
    <w:tmpl w:val="D9066750"/>
    <w:lvl w:ilvl="0" w:tplc="EFECBE5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8FB0072"/>
    <w:multiLevelType w:val="hybridMultilevel"/>
    <w:tmpl w:val="9E8AB60E"/>
    <w:lvl w:ilvl="0" w:tplc="0590B8DE">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555E45B3"/>
    <w:multiLevelType w:val="hybridMultilevel"/>
    <w:tmpl w:val="C5E46CEE"/>
    <w:lvl w:ilvl="0" w:tplc="D9B239D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E84104"/>
    <w:multiLevelType w:val="hybridMultilevel"/>
    <w:tmpl w:val="CF6C02E2"/>
    <w:lvl w:ilvl="0" w:tplc="0405000F">
      <w:start w:val="1"/>
      <w:numFmt w:val="decimal"/>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65147141"/>
    <w:multiLevelType w:val="hybridMultilevel"/>
    <w:tmpl w:val="353E00BC"/>
    <w:lvl w:ilvl="0" w:tplc="65909E0C">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124907"/>
    <w:multiLevelType w:val="hybridMultilevel"/>
    <w:tmpl w:val="F2C2A8EE"/>
    <w:lvl w:ilvl="0" w:tplc="552E4408">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42624101">
    <w:abstractNumId w:val="10"/>
  </w:num>
  <w:num w:numId="2" w16cid:durableId="549270199">
    <w:abstractNumId w:val="1"/>
  </w:num>
  <w:num w:numId="3" w16cid:durableId="423845613">
    <w:abstractNumId w:val="5"/>
  </w:num>
  <w:num w:numId="4" w16cid:durableId="804349701">
    <w:abstractNumId w:val="9"/>
  </w:num>
  <w:num w:numId="5" w16cid:durableId="761605623">
    <w:abstractNumId w:val="8"/>
  </w:num>
  <w:num w:numId="6" w16cid:durableId="1328245920">
    <w:abstractNumId w:val="3"/>
  </w:num>
  <w:num w:numId="7" w16cid:durableId="613681601">
    <w:abstractNumId w:val="6"/>
  </w:num>
  <w:num w:numId="8" w16cid:durableId="1709986629">
    <w:abstractNumId w:val="11"/>
  </w:num>
  <w:num w:numId="9" w16cid:durableId="227963452">
    <w:abstractNumId w:val="2"/>
  </w:num>
  <w:num w:numId="10" w16cid:durableId="137772762">
    <w:abstractNumId w:val="12"/>
  </w:num>
  <w:num w:numId="11" w16cid:durableId="144008778">
    <w:abstractNumId w:val="4"/>
  </w:num>
  <w:num w:numId="12" w16cid:durableId="1681810111">
    <w:abstractNumId w:val="0"/>
  </w:num>
  <w:num w:numId="13" w16cid:durableId="17555442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8F"/>
    <w:rsid w:val="00054192"/>
    <w:rsid w:val="00064A92"/>
    <w:rsid w:val="00085DF1"/>
    <w:rsid w:val="00086FD2"/>
    <w:rsid w:val="001463D2"/>
    <w:rsid w:val="00240815"/>
    <w:rsid w:val="00271A24"/>
    <w:rsid w:val="002A62A9"/>
    <w:rsid w:val="002D531C"/>
    <w:rsid w:val="002F099E"/>
    <w:rsid w:val="00317BA1"/>
    <w:rsid w:val="003958C6"/>
    <w:rsid w:val="003A41B2"/>
    <w:rsid w:val="003B71C0"/>
    <w:rsid w:val="003F37F7"/>
    <w:rsid w:val="004D7AB3"/>
    <w:rsid w:val="00645831"/>
    <w:rsid w:val="00692E87"/>
    <w:rsid w:val="006B58E4"/>
    <w:rsid w:val="00721BBF"/>
    <w:rsid w:val="00726942"/>
    <w:rsid w:val="007600BB"/>
    <w:rsid w:val="00766EC6"/>
    <w:rsid w:val="00776A3C"/>
    <w:rsid w:val="00797C32"/>
    <w:rsid w:val="00806879"/>
    <w:rsid w:val="00886CEF"/>
    <w:rsid w:val="00896006"/>
    <w:rsid w:val="008D1E98"/>
    <w:rsid w:val="00922979"/>
    <w:rsid w:val="00931B75"/>
    <w:rsid w:val="00972CFC"/>
    <w:rsid w:val="009F2F2C"/>
    <w:rsid w:val="00A228F3"/>
    <w:rsid w:val="00AA56A6"/>
    <w:rsid w:val="00AB4282"/>
    <w:rsid w:val="00AD2006"/>
    <w:rsid w:val="00AF49E0"/>
    <w:rsid w:val="00C8018E"/>
    <w:rsid w:val="00CF3BE9"/>
    <w:rsid w:val="00D05A6B"/>
    <w:rsid w:val="00D31E7C"/>
    <w:rsid w:val="00D954FC"/>
    <w:rsid w:val="00DC03DE"/>
    <w:rsid w:val="00DE6D8F"/>
    <w:rsid w:val="00E46790"/>
    <w:rsid w:val="00E54868"/>
    <w:rsid w:val="00E754CF"/>
    <w:rsid w:val="00F60CC2"/>
    <w:rsid w:val="00F66604"/>
    <w:rsid w:val="00F86B2B"/>
    <w:rsid w:val="00F96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F7EB"/>
  <w15:docId w15:val="{FB92A28D-1FFB-4CA5-9A25-6A6B1ACF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DE6D8F"/>
    <w:pPr>
      <w:keepNext/>
      <w:numPr>
        <w:numId w:val="2"/>
      </w:numPr>
      <w:suppressAutoHyphens/>
      <w:spacing w:after="0" w:line="240" w:lineRule="auto"/>
      <w:jc w:val="center"/>
      <w:outlineLvl w:val="0"/>
    </w:pPr>
    <w:rPr>
      <w:rFonts w:ascii="Times New Roman" w:eastAsia="Times New Roman" w:hAnsi="Times New Roman" w:cs="Times New Roman"/>
      <w:sz w:val="32"/>
      <w:szCs w:val="3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E6D8F"/>
    <w:rPr>
      <w:rFonts w:ascii="Times New Roman" w:eastAsia="Times New Roman" w:hAnsi="Times New Roman" w:cs="Times New Roman"/>
      <w:sz w:val="32"/>
      <w:szCs w:val="32"/>
      <w:lang w:eastAsia="zh-CN"/>
    </w:rPr>
  </w:style>
  <w:style w:type="paragraph" w:styleId="Textpoznpodarou">
    <w:name w:val="footnote text"/>
    <w:basedOn w:val="Normln"/>
    <w:link w:val="TextpoznpodarouChar"/>
    <w:uiPriority w:val="99"/>
    <w:semiHidden/>
    <w:unhideWhenUsed/>
    <w:rsid w:val="00DE6D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E6D8F"/>
    <w:rPr>
      <w:rFonts w:eastAsiaTheme="minorEastAsia"/>
      <w:sz w:val="20"/>
      <w:szCs w:val="20"/>
      <w:lang w:eastAsia="cs-CZ"/>
    </w:rPr>
  </w:style>
  <w:style w:type="character" w:styleId="Znakapoznpodarou">
    <w:name w:val="footnote reference"/>
    <w:basedOn w:val="Standardnpsmoodstavce"/>
    <w:semiHidden/>
    <w:unhideWhenUsed/>
    <w:rsid w:val="00DE6D8F"/>
    <w:rPr>
      <w:vertAlign w:val="superscript"/>
    </w:rPr>
  </w:style>
  <w:style w:type="table" w:styleId="Mkatabulky">
    <w:name w:val="Table Grid"/>
    <w:basedOn w:val="Normlntabulka"/>
    <w:uiPriority w:val="59"/>
    <w:rsid w:val="00DE6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E6D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6D8F"/>
    <w:rPr>
      <w:rFonts w:ascii="Tahoma" w:hAnsi="Tahoma" w:cs="Tahoma"/>
      <w:sz w:val="16"/>
      <w:szCs w:val="16"/>
    </w:rPr>
  </w:style>
  <w:style w:type="paragraph" w:styleId="Odstavecseseznamem">
    <w:name w:val="List Paragraph"/>
    <w:basedOn w:val="Normln"/>
    <w:uiPriority w:val="34"/>
    <w:qFormat/>
    <w:rsid w:val="003A4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DB6B8-4724-49B1-B93E-44ED4BC7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1046</Words>
  <Characters>6174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mklingerova</cp:lastModifiedBy>
  <cp:revision>2</cp:revision>
  <cp:lastPrinted>2021-10-20T06:53:00Z</cp:lastPrinted>
  <dcterms:created xsi:type="dcterms:W3CDTF">2023-11-03T08:44:00Z</dcterms:created>
  <dcterms:modified xsi:type="dcterms:W3CDTF">2023-11-03T08:44:00Z</dcterms:modified>
</cp:coreProperties>
</file>