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F3" w:rsidRDefault="00CF71F3">
      <w:pPr>
        <w:spacing w:line="6" w:lineRule="exact"/>
        <w:rPr>
          <w:sz w:val="24"/>
          <w:szCs w:val="24"/>
        </w:rPr>
      </w:pPr>
      <w:bookmarkStart w:id="0" w:name="page1"/>
      <w:bookmarkEnd w:id="0"/>
    </w:p>
    <w:p w:rsidR="00434482" w:rsidRDefault="00434482" w:rsidP="00992EAC">
      <w:pPr>
        <w:ind w:right="-22"/>
        <w:jc w:val="center"/>
        <w:rPr>
          <w:rFonts w:ascii="Cambria" w:eastAsia="Arial" w:hAnsi="Cambria" w:cs="Arial"/>
          <w:b/>
          <w:bCs/>
          <w:sz w:val="24"/>
          <w:szCs w:val="24"/>
        </w:rPr>
      </w:pPr>
    </w:p>
    <w:p w:rsidR="00CF71F3" w:rsidRDefault="00736115" w:rsidP="00992EAC">
      <w:pPr>
        <w:ind w:right="-22"/>
        <w:jc w:val="center"/>
        <w:rPr>
          <w:rFonts w:ascii="Cambria" w:eastAsia="Arial" w:hAnsi="Cambria" w:cs="Arial"/>
          <w:b/>
          <w:bCs/>
          <w:sz w:val="24"/>
          <w:szCs w:val="24"/>
        </w:rPr>
      </w:pPr>
      <w:r>
        <w:rPr>
          <w:rFonts w:ascii="Cambria" w:eastAsia="Arial" w:hAnsi="Cambria" w:cs="Arial"/>
          <w:b/>
          <w:bCs/>
          <w:sz w:val="24"/>
          <w:szCs w:val="24"/>
        </w:rPr>
        <w:t>NAŘÍZENÍ OBCE BUDKOV Č. 1/2023</w:t>
      </w:r>
    </w:p>
    <w:p w:rsidR="00992EAC" w:rsidRPr="0005361E" w:rsidRDefault="00992EAC" w:rsidP="00992EAC">
      <w:pPr>
        <w:ind w:right="-22"/>
        <w:jc w:val="center"/>
        <w:rPr>
          <w:rFonts w:ascii="Cambria" w:hAnsi="Cambria"/>
          <w:sz w:val="24"/>
          <w:szCs w:val="24"/>
        </w:rPr>
      </w:pPr>
    </w:p>
    <w:p w:rsidR="00CF71F3" w:rsidRDefault="00CF71F3" w:rsidP="00992EAC">
      <w:pPr>
        <w:spacing w:line="61" w:lineRule="exact"/>
        <w:ind w:right="-22"/>
        <w:rPr>
          <w:sz w:val="24"/>
          <w:szCs w:val="24"/>
        </w:rPr>
      </w:pPr>
    </w:p>
    <w:p w:rsidR="0005361E" w:rsidRDefault="0005361E" w:rsidP="00992EAC">
      <w:pPr>
        <w:ind w:right="-22"/>
        <w:jc w:val="center"/>
        <w:rPr>
          <w:rFonts w:ascii="Cambria" w:eastAsia="Arial" w:hAnsi="Cambria" w:cs="Arial"/>
          <w:b/>
          <w:bCs/>
          <w:sz w:val="24"/>
          <w:szCs w:val="24"/>
        </w:rPr>
      </w:pPr>
      <w:r w:rsidRPr="0005361E">
        <w:rPr>
          <w:rFonts w:ascii="Cambria" w:eastAsia="Arial" w:hAnsi="Cambria" w:cs="Arial"/>
          <w:b/>
          <w:bCs/>
          <w:sz w:val="24"/>
          <w:szCs w:val="24"/>
        </w:rPr>
        <w:t>KTERÝM SE STANOVUJE</w:t>
      </w:r>
    </w:p>
    <w:p w:rsidR="00992EAC" w:rsidRPr="0005361E" w:rsidRDefault="00992EAC" w:rsidP="00992EAC">
      <w:pPr>
        <w:ind w:right="-22"/>
        <w:jc w:val="center"/>
        <w:rPr>
          <w:rFonts w:ascii="Cambria" w:eastAsia="Arial" w:hAnsi="Cambria" w:cs="Arial"/>
          <w:b/>
          <w:bCs/>
          <w:sz w:val="32"/>
          <w:szCs w:val="32"/>
        </w:rPr>
      </w:pPr>
    </w:p>
    <w:p w:rsidR="00CF71F3" w:rsidRDefault="0005361E" w:rsidP="00992EAC">
      <w:pPr>
        <w:ind w:right="-22"/>
        <w:jc w:val="center"/>
        <w:rPr>
          <w:rFonts w:ascii="Cambria" w:eastAsia="Arial" w:hAnsi="Cambria" w:cs="Arial"/>
          <w:b/>
          <w:bCs/>
          <w:sz w:val="32"/>
          <w:szCs w:val="32"/>
        </w:rPr>
      </w:pPr>
      <w:r w:rsidRPr="0005361E">
        <w:rPr>
          <w:rFonts w:ascii="Cambria" w:eastAsia="Arial" w:hAnsi="Cambria" w:cs="Arial"/>
          <w:b/>
          <w:bCs/>
          <w:sz w:val="32"/>
          <w:szCs w:val="32"/>
        </w:rPr>
        <w:t>ZÁKAZ PODOMNÍHO PRODEJE</w:t>
      </w:r>
    </w:p>
    <w:p w:rsidR="0005361E" w:rsidRDefault="0005361E" w:rsidP="00992EAC">
      <w:pPr>
        <w:ind w:right="-22"/>
        <w:jc w:val="center"/>
        <w:rPr>
          <w:rFonts w:ascii="Cambria" w:hAnsi="Cambria"/>
          <w:sz w:val="20"/>
          <w:szCs w:val="20"/>
        </w:rPr>
      </w:pPr>
    </w:p>
    <w:p w:rsidR="00992EAC" w:rsidRDefault="00992EAC" w:rsidP="00992EAC">
      <w:pPr>
        <w:ind w:right="-22"/>
        <w:jc w:val="center"/>
        <w:rPr>
          <w:rFonts w:ascii="Cambria" w:hAnsi="Cambria"/>
          <w:sz w:val="20"/>
          <w:szCs w:val="20"/>
        </w:rPr>
      </w:pPr>
    </w:p>
    <w:p w:rsidR="00992EAC" w:rsidRPr="0005361E" w:rsidRDefault="00992EAC" w:rsidP="00992EAC">
      <w:pPr>
        <w:ind w:right="-22"/>
        <w:jc w:val="center"/>
        <w:rPr>
          <w:rFonts w:ascii="Cambria" w:hAnsi="Cambria"/>
          <w:sz w:val="20"/>
          <w:szCs w:val="20"/>
        </w:rPr>
      </w:pPr>
    </w:p>
    <w:p w:rsidR="00CF71F3" w:rsidRDefault="0005361E" w:rsidP="00992EAC">
      <w:pPr>
        <w:ind w:right="-22"/>
        <w:jc w:val="both"/>
        <w:rPr>
          <w:rFonts w:ascii="Cambria" w:eastAsia="Arial" w:hAnsi="Cambria" w:cs="Arial"/>
          <w:bCs/>
          <w:sz w:val="24"/>
          <w:szCs w:val="24"/>
        </w:rPr>
      </w:pPr>
      <w:r>
        <w:rPr>
          <w:rFonts w:ascii="Cambria" w:eastAsia="Arial" w:hAnsi="Cambria" w:cs="Arial"/>
          <w:bCs/>
          <w:sz w:val="24"/>
          <w:szCs w:val="24"/>
        </w:rPr>
        <w:t xml:space="preserve">   </w:t>
      </w:r>
      <w:r w:rsidR="003F122F">
        <w:rPr>
          <w:rFonts w:ascii="Cambria" w:eastAsia="Arial" w:hAnsi="Cambria" w:cs="Arial"/>
          <w:bCs/>
          <w:sz w:val="24"/>
          <w:szCs w:val="24"/>
        </w:rPr>
        <w:t xml:space="preserve">  </w:t>
      </w:r>
      <w:r w:rsidR="006E5340" w:rsidRPr="0005361E">
        <w:rPr>
          <w:rFonts w:ascii="Cambria" w:eastAsia="Arial" w:hAnsi="Cambria" w:cs="Arial"/>
          <w:bCs/>
          <w:sz w:val="24"/>
          <w:szCs w:val="24"/>
        </w:rPr>
        <w:t xml:space="preserve">Zastupitelstvo obce </w:t>
      </w:r>
      <w:r>
        <w:rPr>
          <w:rFonts w:ascii="Cambria" w:eastAsia="Arial" w:hAnsi="Cambria" w:cs="Arial"/>
          <w:bCs/>
          <w:sz w:val="24"/>
          <w:szCs w:val="24"/>
        </w:rPr>
        <w:t>Budkov</w:t>
      </w:r>
      <w:r w:rsidR="006E5340" w:rsidRPr="0005361E">
        <w:rPr>
          <w:rFonts w:ascii="Cambria" w:eastAsia="Arial" w:hAnsi="Cambria" w:cs="Arial"/>
          <w:bCs/>
          <w:sz w:val="24"/>
          <w:szCs w:val="24"/>
        </w:rPr>
        <w:t xml:space="preserve"> se na svém zasedání dne </w:t>
      </w:r>
      <w:r>
        <w:rPr>
          <w:rFonts w:ascii="Cambria" w:eastAsia="Arial" w:hAnsi="Cambria" w:cs="Arial"/>
          <w:bCs/>
          <w:sz w:val="24"/>
          <w:szCs w:val="24"/>
        </w:rPr>
        <w:t>24. 11. 2021</w:t>
      </w:r>
      <w:r w:rsidR="00992EAC">
        <w:rPr>
          <w:rFonts w:ascii="Cambria" w:eastAsia="Arial" w:hAnsi="Cambria" w:cs="Arial"/>
          <w:bCs/>
          <w:sz w:val="24"/>
          <w:szCs w:val="24"/>
        </w:rPr>
        <w:t xml:space="preserve"> </w:t>
      </w:r>
      <w:r w:rsidR="00736115">
        <w:rPr>
          <w:rFonts w:ascii="Cambria" w:eastAsia="Arial" w:hAnsi="Cambria" w:cs="Arial"/>
          <w:bCs/>
          <w:sz w:val="24"/>
          <w:szCs w:val="24"/>
        </w:rPr>
        <w:t xml:space="preserve">rozhodlo </w:t>
      </w:r>
      <w:r w:rsidR="00992EAC">
        <w:rPr>
          <w:rFonts w:ascii="Cambria" w:eastAsia="Arial" w:hAnsi="Cambria" w:cs="Arial"/>
          <w:bCs/>
          <w:sz w:val="24"/>
          <w:szCs w:val="24"/>
        </w:rPr>
        <w:t>usnesením vydat na základě zmocnění dle §</w:t>
      </w:r>
      <w:r w:rsidR="006E5340" w:rsidRPr="0005361E">
        <w:rPr>
          <w:rFonts w:ascii="Cambria" w:eastAsia="Arial" w:hAnsi="Cambria" w:cs="Arial"/>
          <w:bCs/>
          <w:sz w:val="24"/>
          <w:szCs w:val="24"/>
        </w:rPr>
        <w:t xml:space="preserve"> 18 zákona č. 455/1991 Sb., o živnostenském podnikání (živnostenský zákon), ve znění pozdějších </w:t>
      </w:r>
      <w:r w:rsidR="00992EAC">
        <w:rPr>
          <w:rFonts w:ascii="Cambria" w:eastAsia="Arial" w:hAnsi="Cambria" w:cs="Arial"/>
          <w:bCs/>
          <w:sz w:val="24"/>
          <w:szCs w:val="24"/>
        </w:rPr>
        <w:t>předpisů, v </w:t>
      </w:r>
      <w:r>
        <w:rPr>
          <w:rFonts w:ascii="Cambria" w:eastAsia="Arial" w:hAnsi="Cambria" w:cs="Arial"/>
          <w:bCs/>
          <w:sz w:val="24"/>
          <w:szCs w:val="24"/>
        </w:rPr>
        <w:t>souladu s §11 a §</w:t>
      </w:r>
      <w:r w:rsidR="006E5340" w:rsidRPr="0005361E">
        <w:rPr>
          <w:rFonts w:ascii="Cambria" w:eastAsia="Arial" w:hAnsi="Cambria" w:cs="Arial"/>
          <w:bCs/>
          <w:sz w:val="24"/>
          <w:szCs w:val="24"/>
        </w:rPr>
        <w:t>102 zákona č. 128/2000 Sb.</w:t>
      </w:r>
      <w:r w:rsidR="003F122F">
        <w:rPr>
          <w:rFonts w:ascii="Cambria" w:eastAsia="Arial" w:hAnsi="Cambria" w:cs="Arial"/>
          <w:bCs/>
          <w:sz w:val="24"/>
          <w:szCs w:val="24"/>
        </w:rPr>
        <w:t>, o obcích (obecní zřízení), ve </w:t>
      </w:r>
      <w:r w:rsidR="006E5340" w:rsidRPr="0005361E">
        <w:rPr>
          <w:rFonts w:ascii="Cambria" w:eastAsia="Arial" w:hAnsi="Cambria" w:cs="Arial"/>
          <w:bCs/>
          <w:sz w:val="24"/>
          <w:szCs w:val="24"/>
        </w:rPr>
        <w:t>znění pozdějších předpisů, toto nařízení.</w:t>
      </w:r>
    </w:p>
    <w:p w:rsidR="00992EAC" w:rsidRPr="0005361E" w:rsidRDefault="00992EAC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CF71F3" w:rsidRPr="00992EAC" w:rsidRDefault="006E5340" w:rsidP="00992EAC">
      <w:pPr>
        <w:tabs>
          <w:tab w:val="left" w:pos="180"/>
        </w:tabs>
        <w:ind w:right="-22"/>
        <w:jc w:val="center"/>
        <w:rPr>
          <w:rFonts w:ascii="Cambria" w:hAnsi="Cambria"/>
          <w:b/>
          <w:sz w:val="24"/>
          <w:szCs w:val="24"/>
        </w:rPr>
      </w:pPr>
      <w:r w:rsidRPr="00992EAC">
        <w:rPr>
          <w:rFonts w:ascii="Cambria" w:eastAsia="Arial" w:hAnsi="Cambria" w:cs="Arial"/>
          <w:b/>
          <w:bCs/>
          <w:sz w:val="24"/>
          <w:szCs w:val="24"/>
        </w:rPr>
        <w:t>čl.</w:t>
      </w:r>
      <w:r w:rsidR="00992EAC" w:rsidRPr="00992EAC">
        <w:rPr>
          <w:rFonts w:ascii="Cambria" w:eastAsia="Arial" w:hAnsi="Cambria" w:cs="Arial"/>
          <w:b/>
          <w:bCs/>
          <w:sz w:val="24"/>
          <w:szCs w:val="24"/>
        </w:rPr>
        <w:t xml:space="preserve"> 1</w:t>
      </w:r>
    </w:p>
    <w:p w:rsidR="00CF71F3" w:rsidRPr="00992EAC" w:rsidRDefault="006E5340" w:rsidP="00992EAC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992EAC">
        <w:rPr>
          <w:rFonts w:ascii="Cambria" w:eastAsia="Arial" w:hAnsi="Cambria" w:cs="Arial"/>
          <w:b/>
          <w:bCs/>
          <w:sz w:val="24"/>
          <w:szCs w:val="24"/>
        </w:rPr>
        <w:t>Základní pojmy</w:t>
      </w:r>
    </w:p>
    <w:p w:rsidR="003F122F" w:rsidRDefault="003F122F" w:rsidP="00992EAC">
      <w:pPr>
        <w:ind w:right="-22"/>
        <w:jc w:val="both"/>
        <w:rPr>
          <w:rFonts w:ascii="Cambria" w:eastAsia="Arial" w:hAnsi="Cambria" w:cs="Arial"/>
          <w:bCs/>
          <w:sz w:val="24"/>
          <w:szCs w:val="24"/>
        </w:rPr>
      </w:pPr>
      <w:r>
        <w:rPr>
          <w:rFonts w:ascii="Cambria" w:eastAsia="Arial" w:hAnsi="Cambria" w:cs="Arial"/>
          <w:bCs/>
          <w:sz w:val="24"/>
          <w:szCs w:val="24"/>
        </w:rPr>
        <w:t xml:space="preserve">     </w:t>
      </w:r>
      <w:r w:rsidR="006E5340" w:rsidRPr="0005361E">
        <w:rPr>
          <w:rFonts w:ascii="Cambria" w:eastAsia="Arial" w:hAnsi="Cambria" w:cs="Arial"/>
          <w:bCs/>
          <w:sz w:val="24"/>
          <w:szCs w:val="24"/>
        </w:rPr>
        <w:t>Podomním prodejem se rozumí všechny formy prodeje zboží a poskytování služeb bez předchozí objednávky, případně i pouhá nabídka zboží či služeb, které jsou provozovány fyzickými osobami či zástupci právnických osob obchůzkou jednotlivých bytů, domů nebo veřejného prostranství, jakož i objektů sloužících k rekreaci.</w:t>
      </w:r>
    </w:p>
    <w:p w:rsidR="00992EAC" w:rsidRPr="0005361E" w:rsidRDefault="00992EAC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CF71F3" w:rsidRPr="00992EAC" w:rsidRDefault="006E5340" w:rsidP="00992EAC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992EAC">
        <w:rPr>
          <w:rFonts w:ascii="Cambria" w:eastAsia="Arial" w:hAnsi="Cambria" w:cs="Arial"/>
          <w:b/>
          <w:bCs/>
          <w:sz w:val="24"/>
          <w:szCs w:val="24"/>
        </w:rPr>
        <w:t>čl. 2</w:t>
      </w:r>
    </w:p>
    <w:p w:rsidR="00CF71F3" w:rsidRPr="00992EAC" w:rsidRDefault="006E5340" w:rsidP="00992EAC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992EAC">
        <w:rPr>
          <w:rFonts w:ascii="Cambria" w:eastAsia="Arial" w:hAnsi="Cambria" w:cs="Arial"/>
          <w:b/>
          <w:bCs/>
          <w:sz w:val="24"/>
          <w:szCs w:val="24"/>
        </w:rPr>
        <w:t>Podomní prodej</w:t>
      </w:r>
    </w:p>
    <w:p w:rsidR="00CF71F3" w:rsidRDefault="003F122F" w:rsidP="00992EAC">
      <w:pPr>
        <w:ind w:right="-22"/>
        <w:jc w:val="both"/>
        <w:rPr>
          <w:rFonts w:ascii="Cambria" w:eastAsia="Arial" w:hAnsi="Cambria" w:cs="Arial"/>
          <w:bCs/>
          <w:sz w:val="24"/>
          <w:szCs w:val="24"/>
        </w:rPr>
      </w:pPr>
      <w:r>
        <w:rPr>
          <w:rFonts w:ascii="Cambria" w:eastAsia="Arial" w:hAnsi="Cambria" w:cs="Arial"/>
          <w:bCs/>
          <w:sz w:val="24"/>
          <w:szCs w:val="24"/>
        </w:rPr>
        <w:t xml:space="preserve">     </w:t>
      </w:r>
      <w:r w:rsidR="006E5340" w:rsidRPr="0005361E">
        <w:rPr>
          <w:rFonts w:ascii="Cambria" w:eastAsia="Arial" w:hAnsi="Cambria" w:cs="Arial"/>
          <w:bCs/>
          <w:sz w:val="24"/>
          <w:szCs w:val="24"/>
        </w:rPr>
        <w:t xml:space="preserve">Podomní prodej je na území obce </w:t>
      </w:r>
      <w:r w:rsidR="00992EAC">
        <w:rPr>
          <w:rFonts w:ascii="Cambria" w:eastAsia="Arial" w:hAnsi="Cambria" w:cs="Arial"/>
          <w:bCs/>
          <w:sz w:val="24"/>
          <w:szCs w:val="24"/>
        </w:rPr>
        <w:t>Budkov</w:t>
      </w:r>
      <w:r w:rsidR="006E5340" w:rsidRPr="0005361E">
        <w:rPr>
          <w:rFonts w:ascii="Cambria" w:eastAsia="Arial" w:hAnsi="Cambria" w:cs="Arial"/>
          <w:bCs/>
          <w:sz w:val="24"/>
          <w:szCs w:val="24"/>
        </w:rPr>
        <w:t xml:space="preserve"> zakázán.</w:t>
      </w:r>
    </w:p>
    <w:p w:rsidR="00992EAC" w:rsidRPr="0005361E" w:rsidRDefault="00992EAC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CF71F3" w:rsidRPr="00992EAC" w:rsidRDefault="00992EAC" w:rsidP="00992EAC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992EAC">
        <w:rPr>
          <w:rFonts w:ascii="Cambria" w:eastAsia="Arial" w:hAnsi="Cambria" w:cs="Arial"/>
          <w:b/>
          <w:bCs/>
          <w:sz w:val="24"/>
          <w:szCs w:val="24"/>
        </w:rPr>
        <w:t xml:space="preserve">čl. </w:t>
      </w:r>
      <w:r w:rsidR="006E5340" w:rsidRPr="00992EAC">
        <w:rPr>
          <w:rFonts w:ascii="Cambria" w:eastAsia="Arial" w:hAnsi="Cambria" w:cs="Arial"/>
          <w:b/>
          <w:bCs/>
          <w:sz w:val="24"/>
          <w:szCs w:val="24"/>
        </w:rPr>
        <w:t>3</w:t>
      </w:r>
    </w:p>
    <w:p w:rsidR="00CF71F3" w:rsidRPr="00992EAC" w:rsidRDefault="006E5340" w:rsidP="00992EAC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992EAC">
        <w:rPr>
          <w:rFonts w:ascii="Cambria" w:eastAsia="Arial" w:hAnsi="Cambria" w:cs="Arial"/>
          <w:b/>
          <w:bCs/>
          <w:sz w:val="24"/>
          <w:szCs w:val="24"/>
        </w:rPr>
        <w:t>Kontrola</w:t>
      </w:r>
    </w:p>
    <w:p w:rsidR="00CF71F3" w:rsidRDefault="003F122F" w:rsidP="00992EAC">
      <w:pPr>
        <w:ind w:right="-22"/>
        <w:jc w:val="both"/>
        <w:rPr>
          <w:rFonts w:ascii="Cambria" w:eastAsia="Arial" w:hAnsi="Cambria" w:cs="Arial"/>
          <w:bCs/>
          <w:sz w:val="24"/>
          <w:szCs w:val="24"/>
        </w:rPr>
      </w:pPr>
      <w:r>
        <w:rPr>
          <w:rFonts w:ascii="Cambria" w:eastAsia="Arial" w:hAnsi="Cambria" w:cs="Arial"/>
          <w:bCs/>
          <w:sz w:val="24"/>
          <w:szCs w:val="24"/>
        </w:rPr>
        <w:t xml:space="preserve">     </w:t>
      </w:r>
      <w:r w:rsidR="006E5340" w:rsidRPr="0005361E">
        <w:rPr>
          <w:rFonts w:ascii="Cambria" w:eastAsia="Arial" w:hAnsi="Cambria" w:cs="Arial"/>
          <w:bCs/>
          <w:sz w:val="24"/>
          <w:szCs w:val="24"/>
        </w:rPr>
        <w:t xml:space="preserve">Kontrolu dodržování tohoto nařízení provádí Obecní úřad </w:t>
      </w:r>
      <w:r w:rsidR="00992EAC">
        <w:rPr>
          <w:rFonts w:ascii="Cambria" w:eastAsia="Arial" w:hAnsi="Cambria" w:cs="Arial"/>
          <w:bCs/>
          <w:sz w:val="24"/>
          <w:szCs w:val="24"/>
        </w:rPr>
        <w:t>Budkov</w:t>
      </w:r>
      <w:r w:rsidR="006E5340" w:rsidRPr="0005361E">
        <w:rPr>
          <w:rFonts w:ascii="Cambria" w:eastAsia="Arial" w:hAnsi="Cambria" w:cs="Arial"/>
          <w:bCs/>
          <w:sz w:val="24"/>
          <w:szCs w:val="24"/>
        </w:rPr>
        <w:t>, prostřednictvím pověřených zaměstnanců.</w:t>
      </w:r>
    </w:p>
    <w:p w:rsidR="00992EAC" w:rsidRPr="0005361E" w:rsidRDefault="00992EAC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CF71F3" w:rsidRPr="00992EAC" w:rsidRDefault="00992EAC" w:rsidP="00992EAC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992EAC">
        <w:rPr>
          <w:rFonts w:ascii="Cambria" w:eastAsia="Arial" w:hAnsi="Cambria" w:cs="Arial"/>
          <w:b/>
          <w:bCs/>
          <w:sz w:val="24"/>
          <w:szCs w:val="24"/>
        </w:rPr>
        <w:t>č</w:t>
      </w:r>
      <w:r w:rsidR="006E5340" w:rsidRPr="00992EAC">
        <w:rPr>
          <w:rFonts w:ascii="Cambria" w:eastAsia="Arial" w:hAnsi="Cambria" w:cs="Arial"/>
          <w:b/>
          <w:bCs/>
          <w:sz w:val="24"/>
          <w:szCs w:val="24"/>
        </w:rPr>
        <w:t>l. 4</w:t>
      </w:r>
    </w:p>
    <w:p w:rsidR="00CF71F3" w:rsidRPr="00992EAC" w:rsidRDefault="006E5340" w:rsidP="00992EAC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992EAC">
        <w:rPr>
          <w:rFonts w:ascii="Cambria" w:eastAsia="Arial" w:hAnsi="Cambria" w:cs="Arial"/>
          <w:b/>
          <w:bCs/>
          <w:sz w:val="24"/>
          <w:szCs w:val="24"/>
        </w:rPr>
        <w:t>Sankce</w:t>
      </w:r>
    </w:p>
    <w:p w:rsidR="00CF71F3" w:rsidRDefault="003F122F" w:rsidP="003F122F">
      <w:pPr>
        <w:spacing w:after="120"/>
        <w:ind w:right="-23"/>
        <w:jc w:val="both"/>
        <w:rPr>
          <w:rFonts w:ascii="Cambria" w:eastAsia="Arial" w:hAnsi="Cambria" w:cs="Arial"/>
          <w:bCs/>
          <w:sz w:val="24"/>
          <w:szCs w:val="24"/>
        </w:rPr>
      </w:pPr>
      <w:r>
        <w:rPr>
          <w:rFonts w:ascii="Cambria" w:eastAsia="Arial" w:hAnsi="Cambria" w:cs="Arial"/>
          <w:bCs/>
          <w:sz w:val="24"/>
          <w:szCs w:val="24"/>
        </w:rPr>
        <w:t xml:space="preserve">1. </w:t>
      </w:r>
      <w:r w:rsidRPr="003F122F">
        <w:rPr>
          <w:rFonts w:ascii="Cambria" w:eastAsia="Arial" w:hAnsi="Cambria" w:cs="Arial"/>
          <w:bCs/>
          <w:sz w:val="24"/>
          <w:szCs w:val="24"/>
        </w:rPr>
        <w:t>Podle § 4 zákona č. 251/2016 Sb., o některých přestupcích, ve znění pozdějších předpisů: „Fyzická, právnická nebo podnikající fyzická osoba se dopustí přestupku tím, že poruší povinnost stanovenou v nařízení obce nebo kraje.“ Za přestupek lze uložit pokutu.</w:t>
      </w:r>
    </w:p>
    <w:p w:rsidR="003F122F" w:rsidRPr="0005361E" w:rsidRDefault="003F122F" w:rsidP="003F122F">
      <w:pPr>
        <w:spacing w:after="120"/>
        <w:ind w:right="-23"/>
        <w:jc w:val="both"/>
        <w:rPr>
          <w:rFonts w:ascii="Cambria" w:hAnsi="Cambria"/>
          <w:sz w:val="24"/>
          <w:szCs w:val="24"/>
        </w:rPr>
      </w:pPr>
      <w:r>
        <w:rPr>
          <w:rFonts w:ascii="Cambria" w:eastAsia="Arial" w:hAnsi="Cambria" w:cs="Arial"/>
          <w:bCs/>
          <w:sz w:val="24"/>
          <w:szCs w:val="24"/>
        </w:rPr>
        <w:t>2</w:t>
      </w:r>
      <w:r w:rsidRPr="0005361E">
        <w:rPr>
          <w:rFonts w:ascii="Cambria" w:eastAsia="Arial" w:hAnsi="Cambria" w:cs="Arial"/>
          <w:bCs/>
          <w:sz w:val="24"/>
          <w:szCs w:val="24"/>
        </w:rPr>
        <w:t>. Poruší-li právnická osoba nebo fyzická osoba, která je podnikatelem při výkonu podnikatelské činnosti povinnost stanovenou tímto nařízením, může být podle zvláštního právního p</w:t>
      </w:r>
      <w:r>
        <w:rPr>
          <w:rFonts w:ascii="Cambria" w:eastAsia="Arial" w:hAnsi="Cambria" w:cs="Arial"/>
          <w:bCs/>
          <w:sz w:val="24"/>
          <w:szCs w:val="24"/>
        </w:rPr>
        <w:t>ředpisu uložena pokuta do výše 1</w:t>
      </w:r>
      <w:r w:rsidRPr="0005361E">
        <w:rPr>
          <w:rFonts w:ascii="Cambria" w:eastAsia="Arial" w:hAnsi="Cambria" w:cs="Arial"/>
          <w:bCs/>
          <w:sz w:val="24"/>
          <w:szCs w:val="24"/>
        </w:rPr>
        <w:t>00 000 Kč.</w:t>
      </w:r>
    </w:p>
    <w:p w:rsidR="00992EAC" w:rsidRDefault="003F122F" w:rsidP="003F122F">
      <w:pPr>
        <w:tabs>
          <w:tab w:val="left" w:pos="345"/>
        </w:tabs>
        <w:ind w:right="-22"/>
        <w:jc w:val="both"/>
        <w:rPr>
          <w:rFonts w:ascii="Cambria" w:eastAsia="Arial" w:hAnsi="Cambria" w:cs="Arial"/>
          <w:bCs/>
          <w:sz w:val="24"/>
          <w:szCs w:val="24"/>
        </w:rPr>
      </w:pPr>
      <w:r>
        <w:rPr>
          <w:rFonts w:ascii="Cambria" w:eastAsia="Arial" w:hAnsi="Cambria" w:cs="Arial"/>
          <w:bCs/>
          <w:sz w:val="24"/>
          <w:szCs w:val="24"/>
        </w:rPr>
        <w:t xml:space="preserve">3. </w:t>
      </w:r>
      <w:r w:rsidR="006E5340" w:rsidRPr="0005361E">
        <w:rPr>
          <w:rFonts w:ascii="Cambria" w:eastAsia="Arial" w:hAnsi="Cambria" w:cs="Arial"/>
          <w:bCs/>
          <w:sz w:val="24"/>
          <w:szCs w:val="24"/>
        </w:rPr>
        <w:t>Poruší-li fyzická osoba povinnosti stanovené tímto nařízením, může být podle zvláštního právního předpisu uložena pokuta do výše 30 000 Kč.</w:t>
      </w:r>
    </w:p>
    <w:p w:rsidR="00992EAC" w:rsidRDefault="00992EAC" w:rsidP="00992EAC">
      <w:pPr>
        <w:tabs>
          <w:tab w:val="left" w:pos="345"/>
        </w:tabs>
        <w:ind w:right="-22"/>
        <w:jc w:val="both"/>
      </w:pPr>
    </w:p>
    <w:p w:rsidR="003F122F" w:rsidRDefault="003F122F" w:rsidP="00992EAC">
      <w:pPr>
        <w:tabs>
          <w:tab w:val="left" w:pos="345"/>
        </w:tabs>
        <w:ind w:right="-22"/>
        <w:jc w:val="both"/>
      </w:pPr>
    </w:p>
    <w:p w:rsidR="003F122F" w:rsidRDefault="003F122F" w:rsidP="00992EAC">
      <w:pPr>
        <w:tabs>
          <w:tab w:val="left" w:pos="345"/>
        </w:tabs>
        <w:ind w:right="-22"/>
        <w:jc w:val="both"/>
      </w:pPr>
    </w:p>
    <w:p w:rsidR="003F122F" w:rsidRDefault="003F122F" w:rsidP="00992EAC">
      <w:pPr>
        <w:tabs>
          <w:tab w:val="left" w:pos="345"/>
        </w:tabs>
        <w:ind w:right="-22"/>
        <w:jc w:val="both"/>
      </w:pPr>
    </w:p>
    <w:p w:rsidR="003F122F" w:rsidRDefault="003F122F" w:rsidP="00992EAC">
      <w:pPr>
        <w:tabs>
          <w:tab w:val="left" w:pos="345"/>
        </w:tabs>
        <w:ind w:right="-22"/>
        <w:jc w:val="both"/>
      </w:pPr>
    </w:p>
    <w:p w:rsidR="003F122F" w:rsidRDefault="003F122F" w:rsidP="00992EAC">
      <w:pPr>
        <w:tabs>
          <w:tab w:val="left" w:pos="345"/>
        </w:tabs>
        <w:ind w:right="-22"/>
        <w:jc w:val="both"/>
      </w:pPr>
    </w:p>
    <w:p w:rsidR="003F122F" w:rsidRPr="00992EAC" w:rsidRDefault="003F122F" w:rsidP="00992EAC">
      <w:pPr>
        <w:tabs>
          <w:tab w:val="left" w:pos="345"/>
        </w:tabs>
        <w:ind w:right="-22"/>
        <w:jc w:val="both"/>
        <w:rPr>
          <w:rFonts w:ascii="Cambria" w:eastAsia="Arial" w:hAnsi="Cambria" w:cs="Arial"/>
          <w:bCs/>
          <w:sz w:val="24"/>
          <w:szCs w:val="24"/>
        </w:rPr>
      </w:pPr>
    </w:p>
    <w:p w:rsidR="00CF71F3" w:rsidRPr="00992EAC" w:rsidRDefault="006E5340" w:rsidP="00992EAC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992EAC">
        <w:rPr>
          <w:rFonts w:ascii="Cambria" w:eastAsia="Arial" w:hAnsi="Cambria" w:cs="Arial"/>
          <w:b/>
          <w:bCs/>
          <w:sz w:val="24"/>
          <w:szCs w:val="24"/>
        </w:rPr>
        <w:t>čl. 5</w:t>
      </w:r>
    </w:p>
    <w:p w:rsidR="00CF71F3" w:rsidRPr="00992EAC" w:rsidRDefault="006E5340" w:rsidP="00992EAC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992EAC">
        <w:rPr>
          <w:rFonts w:ascii="Cambria" w:eastAsia="Arial" w:hAnsi="Cambria" w:cs="Arial"/>
          <w:b/>
          <w:bCs/>
          <w:sz w:val="24"/>
          <w:szCs w:val="24"/>
        </w:rPr>
        <w:t>Druhy prodeje zboží a poskytování služeb, na kt</w:t>
      </w:r>
      <w:r w:rsidR="00992EAC">
        <w:rPr>
          <w:rFonts w:ascii="Cambria" w:eastAsia="Arial" w:hAnsi="Cambria" w:cs="Arial"/>
          <w:b/>
          <w:bCs/>
          <w:sz w:val="24"/>
          <w:szCs w:val="24"/>
        </w:rPr>
        <w:t>eré se toto nařízení nevztahuje</w:t>
      </w:r>
    </w:p>
    <w:p w:rsidR="00CF71F3" w:rsidRPr="00992EAC" w:rsidRDefault="003F122F" w:rsidP="00992EAC">
      <w:pPr>
        <w:ind w:right="-22"/>
        <w:jc w:val="both"/>
        <w:rPr>
          <w:rFonts w:ascii="Cambria" w:hAnsi="Cambria"/>
          <w:sz w:val="24"/>
          <w:szCs w:val="24"/>
        </w:rPr>
      </w:pPr>
      <w:bookmarkStart w:id="1" w:name="page2"/>
      <w:bookmarkEnd w:id="1"/>
      <w:r>
        <w:rPr>
          <w:rFonts w:ascii="Cambria" w:eastAsia="Arial" w:hAnsi="Cambria" w:cs="Arial"/>
          <w:bCs/>
          <w:sz w:val="24"/>
          <w:szCs w:val="24"/>
        </w:rPr>
        <w:t xml:space="preserve">     </w:t>
      </w:r>
      <w:r w:rsidR="006E5340" w:rsidRPr="00992EAC">
        <w:rPr>
          <w:rFonts w:ascii="Cambria" w:eastAsia="Arial" w:hAnsi="Cambria" w:cs="Arial"/>
          <w:bCs/>
          <w:sz w:val="24"/>
          <w:szCs w:val="24"/>
        </w:rPr>
        <w:t>Toto nařízení se nevztahuje na prodej a poskytování služeb mimo provozovnu při slavnostech, sportovních a kulturních nebo pod</w:t>
      </w:r>
      <w:r w:rsidR="00992EAC">
        <w:rPr>
          <w:rFonts w:ascii="Cambria" w:eastAsia="Arial" w:hAnsi="Cambria" w:cs="Arial"/>
          <w:bCs/>
          <w:sz w:val="24"/>
          <w:szCs w:val="24"/>
        </w:rPr>
        <w:t>obných akcí, včetně podomního a </w:t>
      </w:r>
      <w:r w:rsidR="00736115">
        <w:rPr>
          <w:rFonts w:ascii="Cambria" w:eastAsia="Arial" w:hAnsi="Cambria" w:cs="Arial"/>
          <w:bCs/>
          <w:sz w:val="24"/>
          <w:szCs w:val="24"/>
        </w:rPr>
        <w:t>pochůzkového prodeje provozovaných</w:t>
      </w:r>
      <w:r w:rsidR="006E5340" w:rsidRPr="00992EAC">
        <w:rPr>
          <w:rFonts w:ascii="Cambria" w:eastAsia="Arial" w:hAnsi="Cambria" w:cs="Arial"/>
          <w:bCs/>
          <w:sz w:val="24"/>
          <w:szCs w:val="24"/>
        </w:rPr>
        <w:t xml:space="preserve"> místními spolky při</w:t>
      </w:r>
      <w:r w:rsidR="00992EAC"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Arial" w:hAnsi="Cambria" w:cs="Arial"/>
          <w:bCs/>
          <w:sz w:val="24"/>
          <w:szCs w:val="24"/>
        </w:rPr>
        <w:t>pořádaní těchto akcí, na </w:t>
      </w:r>
      <w:r w:rsidR="006E5340" w:rsidRPr="00992EAC">
        <w:rPr>
          <w:rFonts w:ascii="Cambria" w:eastAsia="Arial" w:hAnsi="Cambria" w:cs="Arial"/>
          <w:bCs/>
          <w:sz w:val="24"/>
          <w:szCs w:val="24"/>
        </w:rPr>
        <w:t>ohlášené očkování domácích zvířat a na veřejné sbírky.</w:t>
      </w:r>
    </w:p>
    <w:p w:rsidR="00992EAC" w:rsidRDefault="00992EAC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992EAC" w:rsidRPr="00992EAC" w:rsidRDefault="00992EAC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CF71F3" w:rsidRPr="00992EAC" w:rsidRDefault="006E5340" w:rsidP="00992EAC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992EAC">
        <w:rPr>
          <w:rFonts w:ascii="Cambria" w:eastAsia="Arial" w:hAnsi="Cambria" w:cs="Arial"/>
          <w:b/>
          <w:bCs/>
          <w:sz w:val="24"/>
          <w:szCs w:val="24"/>
        </w:rPr>
        <w:t>čl. 6</w:t>
      </w:r>
    </w:p>
    <w:p w:rsidR="00CF71F3" w:rsidRPr="00992EAC" w:rsidRDefault="006E5340" w:rsidP="00992EAC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992EAC">
        <w:rPr>
          <w:rFonts w:ascii="Cambria" w:eastAsia="Arial" w:hAnsi="Cambria" w:cs="Arial"/>
          <w:b/>
          <w:bCs/>
          <w:sz w:val="24"/>
          <w:szCs w:val="24"/>
        </w:rPr>
        <w:t>Závěrečné ustanovení</w:t>
      </w:r>
    </w:p>
    <w:p w:rsidR="00736115" w:rsidRPr="00736115" w:rsidRDefault="00736115" w:rsidP="00736115">
      <w:pPr>
        <w:spacing w:after="120"/>
        <w:ind w:right="-23"/>
        <w:jc w:val="both"/>
        <w:rPr>
          <w:rFonts w:ascii="Cambria" w:eastAsia="Arial" w:hAnsi="Cambria" w:cs="Arial"/>
          <w:bCs/>
          <w:sz w:val="24"/>
          <w:szCs w:val="24"/>
        </w:rPr>
      </w:pPr>
      <w:r>
        <w:rPr>
          <w:rFonts w:ascii="Cambria" w:eastAsia="Arial" w:hAnsi="Cambria" w:cs="Arial"/>
          <w:bCs/>
          <w:sz w:val="24"/>
          <w:szCs w:val="24"/>
        </w:rPr>
        <w:t xml:space="preserve">1. </w:t>
      </w:r>
      <w:r w:rsidRPr="00736115">
        <w:rPr>
          <w:rFonts w:ascii="Cambria" w:hAnsi="Cambria"/>
          <w:sz w:val="24"/>
          <w:szCs w:val="24"/>
        </w:rPr>
        <w:t xml:space="preserve">Dnem nabytí účinnosti tohoto nařízení </w:t>
      </w:r>
      <w:r>
        <w:rPr>
          <w:rFonts w:ascii="Cambria" w:hAnsi="Cambria"/>
          <w:sz w:val="24"/>
          <w:szCs w:val="24"/>
        </w:rPr>
        <w:t>se zrušuje Nařízení č. 1/2021 ze dne 24.11.2021</w:t>
      </w:r>
      <w:r w:rsidRPr="00736115">
        <w:rPr>
          <w:rFonts w:ascii="Cambria" w:hAnsi="Cambria"/>
          <w:sz w:val="24"/>
          <w:szCs w:val="24"/>
        </w:rPr>
        <w:t>, kterým se st</w:t>
      </w:r>
      <w:r>
        <w:rPr>
          <w:rFonts w:ascii="Cambria" w:hAnsi="Cambria"/>
          <w:sz w:val="24"/>
          <w:szCs w:val="24"/>
        </w:rPr>
        <w:t>anovuje zákaz podomního prodeje</w:t>
      </w:r>
      <w:r w:rsidRPr="00736115">
        <w:rPr>
          <w:rFonts w:ascii="Cambria" w:hAnsi="Cambria"/>
          <w:sz w:val="24"/>
          <w:szCs w:val="24"/>
        </w:rPr>
        <w:t>.</w:t>
      </w:r>
      <w:r w:rsidR="003F122F" w:rsidRPr="00736115">
        <w:rPr>
          <w:rFonts w:ascii="Cambria" w:eastAsia="Arial" w:hAnsi="Cambria" w:cs="Arial"/>
          <w:bCs/>
          <w:sz w:val="24"/>
          <w:szCs w:val="24"/>
        </w:rPr>
        <w:t xml:space="preserve">    </w:t>
      </w:r>
    </w:p>
    <w:p w:rsidR="00CF71F3" w:rsidRPr="00736115" w:rsidRDefault="00736115" w:rsidP="00736115">
      <w:pPr>
        <w:spacing w:after="120"/>
        <w:ind w:right="-23"/>
        <w:jc w:val="both"/>
        <w:rPr>
          <w:rFonts w:ascii="Cambria" w:hAnsi="Cambria"/>
          <w:sz w:val="24"/>
          <w:szCs w:val="24"/>
        </w:rPr>
      </w:pPr>
      <w:r>
        <w:rPr>
          <w:rFonts w:ascii="Cambria" w:eastAsia="Arial" w:hAnsi="Cambria" w:cs="Arial"/>
          <w:bCs/>
          <w:sz w:val="24"/>
          <w:szCs w:val="24"/>
        </w:rPr>
        <w:t>2</w:t>
      </w:r>
      <w:r w:rsidRPr="00736115">
        <w:rPr>
          <w:rFonts w:ascii="Cambria" w:eastAsia="Arial" w:hAnsi="Cambria" w:cs="Arial"/>
          <w:bCs/>
          <w:sz w:val="24"/>
          <w:szCs w:val="24"/>
        </w:rPr>
        <w:t xml:space="preserve">. </w:t>
      </w:r>
      <w:r w:rsidR="003F122F" w:rsidRPr="00736115">
        <w:rPr>
          <w:rFonts w:ascii="Cambria" w:eastAsia="Arial" w:hAnsi="Cambria" w:cs="Arial"/>
          <w:bCs/>
          <w:sz w:val="24"/>
          <w:szCs w:val="24"/>
        </w:rPr>
        <w:t xml:space="preserve"> </w:t>
      </w:r>
      <w:r w:rsidR="006E5340" w:rsidRPr="00736115">
        <w:rPr>
          <w:rFonts w:ascii="Cambria" w:eastAsia="Arial" w:hAnsi="Cambria" w:cs="Arial"/>
          <w:bCs/>
          <w:sz w:val="24"/>
          <w:szCs w:val="24"/>
        </w:rPr>
        <w:t xml:space="preserve">Toto </w:t>
      </w:r>
      <w:r w:rsidR="00992EAC" w:rsidRPr="00736115">
        <w:rPr>
          <w:rFonts w:ascii="Cambria" w:eastAsia="Arial" w:hAnsi="Cambria" w:cs="Arial"/>
          <w:bCs/>
          <w:sz w:val="24"/>
          <w:szCs w:val="24"/>
        </w:rPr>
        <w:t>nařízení nabývá účinnost dnem 1. 1. 202</w:t>
      </w:r>
      <w:r>
        <w:rPr>
          <w:rFonts w:ascii="Cambria" w:eastAsia="Arial" w:hAnsi="Cambria" w:cs="Arial"/>
          <w:bCs/>
          <w:sz w:val="24"/>
          <w:szCs w:val="24"/>
        </w:rPr>
        <w:t>4</w:t>
      </w:r>
    </w:p>
    <w:p w:rsidR="00CF71F3" w:rsidRPr="00736115" w:rsidRDefault="00CF71F3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CF71F3" w:rsidRDefault="00CF71F3" w:rsidP="00992EAC">
      <w:pPr>
        <w:ind w:right="-22"/>
        <w:jc w:val="both"/>
        <w:rPr>
          <w:rFonts w:ascii="Cambria" w:eastAsia="Arial" w:hAnsi="Cambria" w:cs="Arial"/>
          <w:bCs/>
          <w:sz w:val="24"/>
          <w:szCs w:val="24"/>
        </w:rPr>
      </w:pPr>
    </w:p>
    <w:p w:rsidR="00992EAC" w:rsidRDefault="00992EAC" w:rsidP="00992EAC">
      <w:pPr>
        <w:ind w:right="-22"/>
        <w:jc w:val="both"/>
        <w:rPr>
          <w:rFonts w:ascii="Cambria" w:eastAsia="Arial" w:hAnsi="Cambria" w:cs="Arial"/>
          <w:bCs/>
          <w:sz w:val="24"/>
          <w:szCs w:val="24"/>
        </w:rPr>
      </w:pPr>
    </w:p>
    <w:p w:rsidR="00992EAC" w:rsidRDefault="00992EAC" w:rsidP="00992EAC">
      <w:pPr>
        <w:ind w:right="-22"/>
        <w:jc w:val="both"/>
        <w:rPr>
          <w:rFonts w:ascii="Cambria" w:eastAsia="Arial" w:hAnsi="Cambria" w:cs="Arial"/>
          <w:bCs/>
          <w:sz w:val="24"/>
          <w:szCs w:val="24"/>
        </w:rPr>
      </w:pPr>
    </w:p>
    <w:p w:rsidR="00992EAC" w:rsidRDefault="00A4778B" w:rsidP="00992EAC">
      <w:pPr>
        <w:ind w:right="-22"/>
        <w:jc w:val="both"/>
        <w:rPr>
          <w:rFonts w:ascii="Cambria" w:eastAsia="Arial" w:hAnsi="Cambria" w:cs="Arial"/>
          <w:bCs/>
          <w:sz w:val="24"/>
          <w:szCs w:val="24"/>
        </w:rPr>
      </w:pPr>
      <w:r>
        <w:rPr>
          <w:rFonts w:ascii="Cambria" w:eastAsia="Arial" w:hAnsi="Cambria" w:cs="Arial"/>
          <w:bCs/>
          <w:sz w:val="24"/>
          <w:szCs w:val="24"/>
        </w:rPr>
        <w:t xml:space="preserve">  </w:t>
      </w:r>
      <w:r w:rsidR="00992EAC">
        <w:rPr>
          <w:rFonts w:ascii="Cambria" w:eastAsia="Arial" w:hAnsi="Cambria" w:cs="Arial"/>
          <w:bCs/>
          <w:sz w:val="24"/>
          <w:szCs w:val="24"/>
        </w:rPr>
        <w:t>_____________________________</w:t>
      </w:r>
      <w:r w:rsidR="00434482">
        <w:rPr>
          <w:rFonts w:ascii="Cambria" w:eastAsia="Arial" w:hAnsi="Cambria" w:cs="Arial"/>
          <w:bCs/>
          <w:sz w:val="24"/>
          <w:szCs w:val="24"/>
        </w:rPr>
        <w:t>_</w:t>
      </w:r>
      <w:r w:rsidR="00992EAC">
        <w:rPr>
          <w:rFonts w:ascii="Cambria" w:eastAsia="Arial" w:hAnsi="Cambria" w:cs="Arial"/>
          <w:bCs/>
          <w:sz w:val="24"/>
          <w:szCs w:val="24"/>
        </w:rPr>
        <w:t>_</w:t>
      </w:r>
      <w:r w:rsidR="00992EAC">
        <w:rPr>
          <w:rFonts w:ascii="Cambria" w:eastAsia="Arial" w:hAnsi="Cambria" w:cs="Arial"/>
          <w:bCs/>
          <w:sz w:val="24"/>
          <w:szCs w:val="24"/>
        </w:rPr>
        <w:tab/>
      </w:r>
      <w:r w:rsidR="00992EAC">
        <w:rPr>
          <w:rFonts w:ascii="Cambria" w:eastAsia="Arial" w:hAnsi="Cambria" w:cs="Arial"/>
          <w:bCs/>
          <w:sz w:val="24"/>
          <w:szCs w:val="24"/>
        </w:rPr>
        <w:tab/>
      </w:r>
      <w:r w:rsidR="00992EAC">
        <w:rPr>
          <w:rFonts w:ascii="Cambria" w:eastAsia="Arial" w:hAnsi="Cambria" w:cs="Arial"/>
          <w:bCs/>
          <w:sz w:val="24"/>
          <w:szCs w:val="24"/>
        </w:rPr>
        <w:tab/>
      </w:r>
      <w:r w:rsidR="00992EAC">
        <w:rPr>
          <w:rFonts w:ascii="Cambria" w:eastAsia="Arial" w:hAnsi="Cambria" w:cs="Arial"/>
          <w:bCs/>
          <w:sz w:val="24"/>
          <w:szCs w:val="24"/>
        </w:rPr>
        <w:tab/>
      </w:r>
      <w:r w:rsidR="00992EAC">
        <w:rPr>
          <w:rFonts w:ascii="Cambria" w:eastAsia="Arial" w:hAnsi="Cambria" w:cs="Arial"/>
          <w:bCs/>
          <w:sz w:val="24"/>
          <w:szCs w:val="24"/>
        </w:rPr>
        <w:tab/>
        <w:t>________________________________</w:t>
      </w:r>
    </w:p>
    <w:p w:rsidR="00A4778B" w:rsidRDefault="00A4778B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992EAC" w:rsidRDefault="00992EAC" w:rsidP="00992EAC">
      <w:pPr>
        <w:ind w:right="-2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starosta Mgr. Jiří Záškoda</w:t>
      </w:r>
      <w:r w:rsidR="00A4778B">
        <w:rPr>
          <w:rFonts w:ascii="Cambria" w:hAnsi="Cambria"/>
          <w:sz w:val="24"/>
          <w:szCs w:val="24"/>
        </w:rPr>
        <w:t xml:space="preserve"> v.r.</w:t>
      </w:r>
      <w:r w:rsidR="00A4778B">
        <w:rPr>
          <w:rFonts w:ascii="Cambria" w:hAnsi="Cambria"/>
          <w:sz w:val="24"/>
          <w:szCs w:val="24"/>
        </w:rPr>
        <w:tab/>
      </w:r>
      <w:r w:rsidR="00A4778B">
        <w:rPr>
          <w:rFonts w:ascii="Cambria" w:hAnsi="Cambria"/>
          <w:sz w:val="24"/>
          <w:szCs w:val="24"/>
        </w:rPr>
        <w:tab/>
      </w:r>
      <w:r w:rsidR="00A4778B">
        <w:rPr>
          <w:rFonts w:ascii="Cambria" w:hAnsi="Cambria"/>
          <w:sz w:val="24"/>
          <w:szCs w:val="24"/>
        </w:rPr>
        <w:tab/>
        <w:t xml:space="preserve">           </w:t>
      </w:r>
      <w:r>
        <w:rPr>
          <w:rFonts w:ascii="Cambria" w:hAnsi="Cambria"/>
          <w:sz w:val="24"/>
          <w:szCs w:val="24"/>
        </w:rPr>
        <w:t>místostarosta Milan Brychta</w:t>
      </w:r>
      <w:r w:rsidR="00A4778B">
        <w:rPr>
          <w:rFonts w:ascii="Cambria" w:hAnsi="Cambria"/>
          <w:sz w:val="24"/>
          <w:szCs w:val="24"/>
        </w:rPr>
        <w:t xml:space="preserve"> v.r.</w:t>
      </w:r>
    </w:p>
    <w:p w:rsidR="00992EAC" w:rsidRPr="00992EAC" w:rsidRDefault="00992EAC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CF71F3" w:rsidRDefault="00CF71F3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992EAC" w:rsidRDefault="00992EAC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992EAC" w:rsidRDefault="00992EAC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992EAC" w:rsidRDefault="00992EAC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992EAC" w:rsidRDefault="00992EAC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992EAC" w:rsidRDefault="00992EAC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</w:p>
    <w:p w:rsidR="00434482" w:rsidRPr="00992EAC" w:rsidRDefault="00434482" w:rsidP="00992EAC">
      <w:pPr>
        <w:ind w:right="-2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</w:t>
      </w:r>
    </w:p>
    <w:p w:rsidR="00434482" w:rsidRPr="00434482" w:rsidRDefault="00434482" w:rsidP="00992EAC">
      <w:pPr>
        <w:ind w:right="-22"/>
        <w:jc w:val="both"/>
        <w:rPr>
          <w:rFonts w:ascii="Cambria" w:eastAsia="Arial" w:hAnsi="Cambria" w:cs="Arial"/>
          <w:bCs/>
          <w:sz w:val="20"/>
          <w:szCs w:val="20"/>
        </w:rPr>
      </w:pPr>
      <w:r>
        <w:rPr>
          <w:rFonts w:ascii="Cambria" w:eastAsia="Arial" w:hAnsi="Cambria" w:cs="Arial"/>
          <w:bCs/>
          <w:sz w:val="20"/>
          <w:szCs w:val="20"/>
        </w:rPr>
        <w:t>1</w:t>
      </w:r>
      <w:r w:rsidRPr="00434482">
        <w:rPr>
          <w:rFonts w:ascii="Cambria" w:eastAsia="Arial" w:hAnsi="Cambria" w:cs="Arial"/>
          <w:bCs/>
          <w:sz w:val="20"/>
          <w:szCs w:val="20"/>
        </w:rPr>
        <w:t>§</w:t>
      </w:r>
      <w:r w:rsidR="006E5340" w:rsidRPr="00434482">
        <w:rPr>
          <w:rFonts w:ascii="Cambria" w:eastAsia="Arial" w:hAnsi="Cambria" w:cs="Arial"/>
          <w:bCs/>
          <w:sz w:val="20"/>
          <w:szCs w:val="20"/>
        </w:rPr>
        <w:t xml:space="preserve"> 58 odst. 4 zákona č. 128/2000 Sb., o obcích (obecní zřízení</w:t>
      </w:r>
      <w:r w:rsidRPr="00434482">
        <w:rPr>
          <w:rFonts w:ascii="Cambria" w:eastAsia="Arial" w:hAnsi="Cambria" w:cs="Arial"/>
          <w:bCs/>
          <w:sz w:val="20"/>
          <w:szCs w:val="20"/>
        </w:rPr>
        <w:t>), ve znění pozdějších předpisů</w:t>
      </w:r>
    </w:p>
    <w:p w:rsidR="00CF71F3" w:rsidRPr="00434482" w:rsidRDefault="006E5340" w:rsidP="00992EAC">
      <w:pPr>
        <w:ind w:right="-22"/>
        <w:jc w:val="both"/>
        <w:rPr>
          <w:rFonts w:ascii="Cambria" w:hAnsi="Cambria"/>
          <w:sz w:val="20"/>
          <w:szCs w:val="20"/>
        </w:rPr>
      </w:pPr>
      <w:r w:rsidRPr="00434482">
        <w:rPr>
          <w:rFonts w:ascii="Cambria" w:eastAsia="Arial" w:hAnsi="Cambria" w:cs="Arial"/>
          <w:bCs/>
          <w:sz w:val="20"/>
          <w:szCs w:val="20"/>
        </w:rPr>
        <w:t>2</w:t>
      </w:r>
      <w:r w:rsidR="00434482">
        <w:rPr>
          <w:rFonts w:ascii="Cambria" w:eastAsia="Arial" w:hAnsi="Cambria" w:cs="Arial"/>
          <w:bCs/>
          <w:sz w:val="20"/>
          <w:szCs w:val="20"/>
        </w:rPr>
        <w:t xml:space="preserve">§ </w:t>
      </w:r>
      <w:r w:rsidRPr="00434482">
        <w:rPr>
          <w:rFonts w:ascii="Cambria" w:eastAsia="Arial" w:hAnsi="Cambria" w:cs="Arial"/>
          <w:bCs/>
          <w:sz w:val="20"/>
          <w:szCs w:val="20"/>
        </w:rPr>
        <w:t>46 odst. 3 zákona č. 200/1990 Sb., o přestupcích, ve znění pozdějších předpisů</w:t>
      </w:r>
    </w:p>
    <w:sectPr w:rsidR="00CF71F3" w:rsidRPr="00434482" w:rsidSect="003F122F">
      <w:headerReference w:type="default" r:id="rId7"/>
      <w:pgSz w:w="11900" w:h="16820"/>
      <w:pgMar w:top="1434" w:right="1552" w:bottom="1020" w:left="1440" w:header="284" w:footer="0" w:gutter="0"/>
      <w:cols w:space="708" w:equalWidth="0">
        <w:col w:w="89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158" w:rsidRDefault="00705158" w:rsidP="0005361E">
      <w:r>
        <w:separator/>
      </w:r>
    </w:p>
  </w:endnote>
  <w:endnote w:type="continuationSeparator" w:id="1">
    <w:p w:rsidR="00705158" w:rsidRDefault="00705158" w:rsidP="0005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158" w:rsidRDefault="00705158" w:rsidP="0005361E">
      <w:r>
        <w:separator/>
      </w:r>
    </w:p>
  </w:footnote>
  <w:footnote w:type="continuationSeparator" w:id="1">
    <w:p w:rsidR="00705158" w:rsidRDefault="00705158" w:rsidP="0005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61E" w:rsidRPr="00A01738" w:rsidRDefault="0005361E" w:rsidP="0005361E">
    <w:pPr>
      <w:jc w:val="center"/>
      <w:rPr>
        <w:rFonts w:ascii="Cambria" w:eastAsia="Calibri" w:hAnsi="Cambria"/>
        <w:b/>
        <w:bCs/>
        <w:color w:val="000000"/>
        <w:sz w:val="32"/>
        <w:szCs w:val="32"/>
        <w:lang w:eastAsia="en-US"/>
      </w:rPr>
    </w:pPr>
    <w:r>
      <w:rPr>
        <w:rFonts w:ascii="Cambria" w:hAnsi="Cambria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-8889</wp:posOffset>
          </wp:positionV>
          <wp:extent cx="758566" cy="1238250"/>
          <wp:effectExtent l="19050" t="0" r="3434" b="0"/>
          <wp:wrapNone/>
          <wp:docPr id="2" name="obrázek 1" descr="C:\Users\Lenovo\Desktop\FOTO\znak obce\znak na hlavičkový papí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FOTO\znak obce\znak na hlavičkový papí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52" cy="12424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1738">
      <w:rPr>
        <w:rFonts w:ascii="Cambria" w:hAnsi="Cambria"/>
        <w:b/>
        <w:noProof/>
        <w:sz w:val="32"/>
        <w:szCs w:val="32"/>
      </w:rPr>
      <w:t>OBEC BUDKOV</w:t>
    </w:r>
  </w:p>
  <w:p w:rsidR="0005361E" w:rsidRPr="00A01738" w:rsidRDefault="0005361E" w:rsidP="0005361E">
    <w:pPr>
      <w:jc w:val="center"/>
      <w:rPr>
        <w:rFonts w:ascii="Cambria" w:eastAsia="Calibri" w:hAnsi="Cambria"/>
        <w:bCs/>
        <w:color w:val="000000"/>
        <w:sz w:val="20"/>
        <w:szCs w:val="20"/>
        <w:lang w:eastAsia="en-US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67542 Budkov 82</w:t>
    </w:r>
  </w:p>
  <w:p w:rsidR="0005361E" w:rsidRPr="00A01738" w:rsidRDefault="0005361E" w:rsidP="0005361E">
    <w:pPr>
      <w:jc w:val="center"/>
      <w:rPr>
        <w:rFonts w:ascii="Cambria" w:eastAsia="Calibri" w:hAnsi="Cambria"/>
        <w:bCs/>
        <w:color w:val="000000"/>
        <w:sz w:val="20"/>
        <w:szCs w:val="20"/>
        <w:lang w:eastAsia="en-US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tel.:568 443 121, mob.: 724 003 582</w:t>
    </w:r>
  </w:p>
  <w:p w:rsidR="0005361E" w:rsidRPr="00A01738" w:rsidRDefault="0005361E" w:rsidP="0005361E">
    <w:pPr>
      <w:jc w:val="center"/>
      <w:rPr>
        <w:rFonts w:ascii="Cambria" w:eastAsia="Calibri" w:hAnsi="Cambria"/>
        <w:bCs/>
        <w:color w:val="000000"/>
        <w:sz w:val="20"/>
        <w:szCs w:val="20"/>
        <w:lang w:eastAsia="en-US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email: obec.budkov@iol.cz, web: www.budkov.cz</w:t>
    </w:r>
    <w:r w:rsidRPr="003B6027"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05361E" w:rsidRPr="00A01738" w:rsidRDefault="0005361E" w:rsidP="0005361E">
    <w:pPr>
      <w:jc w:val="center"/>
      <w:rPr>
        <w:rFonts w:ascii="Cambria" w:eastAsia="Calibri" w:hAnsi="Cambria"/>
        <w:bCs/>
        <w:color w:val="000000"/>
        <w:sz w:val="20"/>
        <w:szCs w:val="20"/>
        <w:lang w:eastAsia="en-US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IČ: 00289167, ID datové schránky: syqajbk</w:t>
    </w:r>
  </w:p>
  <w:p w:rsidR="0005361E" w:rsidRPr="00A01738" w:rsidRDefault="0005361E" w:rsidP="0005361E">
    <w:pPr>
      <w:jc w:val="center"/>
      <w:rPr>
        <w:rFonts w:ascii="Cambria" w:hAnsi="Cambria"/>
        <w:sz w:val="20"/>
        <w:szCs w:val="20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bankovní spojení: 4522711, kód banky: 0100</w:t>
    </w:r>
  </w:p>
  <w:p w:rsidR="0005361E" w:rsidRDefault="0005361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23C6"/>
    <w:multiLevelType w:val="hybridMultilevel"/>
    <w:tmpl w:val="781C468A"/>
    <w:lvl w:ilvl="0" w:tplc="7C78A240">
      <w:start w:val="2"/>
      <w:numFmt w:val="decimal"/>
      <w:lvlText w:val="%1."/>
      <w:lvlJc w:val="left"/>
    </w:lvl>
    <w:lvl w:ilvl="1" w:tplc="1A0CADC2">
      <w:numFmt w:val="decimal"/>
      <w:lvlText w:val=""/>
      <w:lvlJc w:val="left"/>
    </w:lvl>
    <w:lvl w:ilvl="2" w:tplc="9D36AD8E">
      <w:numFmt w:val="decimal"/>
      <w:lvlText w:val=""/>
      <w:lvlJc w:val="left"/>
    </w:lvl>
    <w:lvl w:ilvl="3" w:tplc="AF8E913E">
      <w:numFmt w:val="decimal"/>
      <w:lvlText w:val=""/>
      <w:lvlJc w:val="left"/>
    </w:lvl>
    <w:lvl w:ilvl="4" w:tplc="5F6E5A9E">
      <w:numFmt w:val="decimal"/>
      <w:lvlText w:val=""/>
      <w:lvlJc w:val="left"/>
    </w:lvl>
    <w:lvl w:ilvl="5" w:tplc="B5F03CD0">
      <w:numFmt w:val="decimal"/>
      <w:lvlText w:val=""/>
      <w:lvlJc w:val="left"/>
    </w:lvl>
    <w:lvl w:ilvl="6" w:tplc="8506DA1C">
      <w:numFmt w:val="decimal"/>
      <w:lvlText w:val=""/>
      <w:lvlJc w:val="left"/>
    </w:lvl>
    <w:lvl w:ilvl="7" w:tplc="0A48C6F4">
      <w:numFmt w:val="decimal"/>
      <w:lvlText w:val=""/>
      <w:lvlJc w:val="left"/>
    </w:lvl>
    <w:lvl w:ilvl="8" w:tplc="19DC5CF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F71F3"/>
    <w:rsid w:val="0005361E"/>
    <w:rsid w:val="002F11B2"/>
    <w:rsid w:val="003F122F"/>
    <w:rsid w:val="00434482"/>
    <w:rsid w:val="006E5340"/>
    <w:rsid w:val="00705158"/>
    <w:rsid w:val="00736115"/>
    <w:rsid w:val="007820F3"/>
    <w:rsid w:val="00992EAC"/>
    <w:rsid w:val="00A16387"/>
    <w:rsid w:val="00A4778B"/>
    <w:rsid w:val="00B86417"/>
    <w:rsid w:val="00CF71F3"/>
    <w:rsid w:val="00DB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1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536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361E"/>
  </w:style>
  <w:style w:type="paragraph" w:styleId="Zpat">
    <w:name w:val="footer"/>
    <w:basedOn w:val="Normln"/>
    <w:link w:val="ZpatChar"/>
    <w:uiPriority w:val="99"/>
    <w:semiHidden/>
    <w:unhideWhenUsed/>
    <w:rsid w:val="000536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3</cp:revision>
  <dcterms:created xsi:type="dcterms:W3CDTF">2023-12-13T22:53:00Z</dcterms:created>
  <dcterms:modified xsi:type="dcterms:W3CDTF">2023-12-14T21:29:00Z</dcterms:modified>
</cp:coreProperties>
</file>