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F8199" w14:textId="77777777" w:rsidR="00C73F9C" w:rsidRDefault="00774F29">
      <w:pPr>
        <w:pStyle w:val="Zkladntext1"/>
        <w:spacing w:after="260"/>
        <w:jc w:val="center"/>
      </w:pPr>
      <w:r>
        <w:rPr>
          <w:rStyle w:val="Zkladntext"/>
          <w:b/>
          <w:bCs/>
        </w:rPr>
        <w:t>Město Kosmonosy</w:t>
      </w:r>
    </w:p>
    <w:p w14:paraId="75CBB115" w14:textId="77777777" w:rsidR="00C73F9C" w:rsidRDefault="00774F29">
      <w:pPr>
        <w:pStyle w:val="Zkladntext1"/>
        <w:spacing w:after="920"/>
        <w:jc w:val="center"/>
      </w:pPr>
      <w:r>
        <w:rPr>
          <w:rStyle w:val="Zkladntext"/>
          <w:b/>
          <w:bCs/>
        </w:rPr>
        <w:t>Obecně závazná vyhláška města Kosmonosy č. 3/2017, kterou se mění Obecně závazná</w:t>
      </w:r>
      <w:r>
        <w:rPr>
          <w:rStyle w:val="Zkladntext"/>
          <w:b/>
          <w:bCs/>
        </w:rPr>
        <w:br/>
        <w:t>vyhláška č. 1/2017 o regulaci provozování hazardních her</w:t>
      </w:r>
    </w:p>
    <w:p w14:paraId="22555F0D" w14:textId="77777777" w:rsidR="00C73F9C" w:rsidRDefault="00774F29">
      <w:pPr>
        <w:pStyle w:val="Zkladntext1"/>
        <w:jc w:val="both"/>
      </w:pPr>
      <w:r>
        <w:rPr>
          <w:rStyle w:val="Zkladntext"/>
        </w:rPr>
        <w:t xml:space="preserve">Zastupitelstvo města Kosmonosy se na svém zasedání dne 26.04.2017 usnesením č. 28/2017 usneslo vydat na základě ustanovení § 10 písm. a) a § 84 odst. 2 </w:t>
      </w:r>
      <w:proofErr w:type="spellStart"/>
      <w:r>
        <w:rPr>
          <w:rStyle w:val="Zkladntext"/>
        </w:rPr>
        <w:t>pism</w:t>
      </w:r>
      <w:proofErr w:type="spellEnd"/>
      <w:r>
        <w:rPr>
          <w:rStyle w:val="Zkladntext"/>
        </w:rPr>
        <w:t>. h) zákona č. 128/2000 Sb., o obcích (obecní zřízení), ve znění pozdějších předpisů, a v souladu s ustanovením § 12 odst. 1 zákona č. 186/2016 Sb., o hazardních hrách, tuto obecně závaznou vyhlášku (dále jen „vyhláška“):</w:t>
      </w:r>
    </w:p>
    <w:p w14:paraId="402C4945" w14:textId="77777777" w:rsidR="00C73F9C" w:rsidRDefault="00774F29">
      <w:pPr>
        <w:pStyle w:val="Zkladntext1"/>
        <w:spacing w:after="0"/>
        <w:jc w:val="center"/>
      </w:pPr>
      <w:r>
        <w:rPr>
          <w:rStyle w:val="Zkladntext"/>
          <w:b/>
          <w:bCs/>
        </w:rPr>
        <w:t>Část 1</w:t>
      </w:r>
    </w:p>
    <w:p w14:paraId="7E03A3D8" w14:textId="77777777" w:rsidR="00C73F9C" w:rsidRDefault="00774F29">
      <w:pPr>
        <w:pStyle w:val="Zkladntext1"/>
        <w:jc w:val="both"/>
      </w:pPr>
      <w:r>
        <w:rPr>
          <w:rStyle w:val="Zkladntext"/>
        </w:rPr>
        <w:t>Obecně závazná vyhláška města Kosmonosy č. 1/2017 o regulaci provozování hazardních her (dále jen „vyhláška“) se mění takto:</w:t>
      </w:r>
    </w:p>
    <w:p w14:paraId="6CB1961E" w14:textId="77777777" w:rsidR="00C73F9C" w:rsidRDefault="00774F29">
      <w:pPr>
        <w:pStyle w:val="Zkladntext1"/>
        <w:jc w:val="both"/>
      </w:pPr>
      <w:r>
        <w:rPr>
          <w:rStyle w:val="Zkladntext"/>
          <w:b/>
          <w:bCs/>
        </w:rPr>
        <w:t>Článek 2 vyhlášky se zrušuje a nahrazuje se Článkem 2 následujícího znění:</w:t>
      </w:r>
    </w:p>
    <w:p w14:paraId="73D8F874" w14:textId="77777777" w:rsidR="00C73F9C" w:rsidRDefault="00774F29">
      <w:pPr>
        <w:pStyle w:val="Zkladntext1"/>
        <w:spacing w:after="0"/>
        <w:jc w:val="center"/>
      </w:pPr>
      <w:r>
        <w:rPr>
          <w:rStyle w:val="Zkladntext"/>
          <w:b/>
          <w:bCs/>
          <w:i/>
          <w:iCs/>
        </w:rPr>
        <w:t>Článek 2</w:t>
      </w:r>
    </w:p>
    <w:p w14:paraId="65C06835" w14:textId="77777777" w:rsidR="00C73F9C" w:rsidRDefault="00774F29">
      <w:pPr>
        <w:pStyle w:val="Zkladntext1"/>
        <w:jc w:val="center"/>
      </w:pPr>
      <w:r>
        <w:rPr>
          <w:rStyle w:val="Zkladntext"/>
          <w:b/>
          <w:bCs/>
          <w:i/>
          <w:iCs/>
        </w:rPr>
        <w:t>Povolení provozování</w:t>
      </w:r>
    </w:p>
    <w:p w14:paraId="216AB304" w14:textId="77777777" w:rsidR="00C73F9C" w:rsidRDefault="00774F29">
      <w:pPr>
        <w:pStyle w:val="Zkladntext1"/>
        <w:spacing w:after="440"/>
        <w:jc w:val="both"/>
      </w:pPr>
      <w:r>
        <w:rPr>
          <w:rStyle w:val="Zkladntext"/>
          <w:i/>
          <w:iCs/>
        </w:rPr>
        <w:t>Bingo, technickou hru a živou hru lze na území města provozovat pouze v KASINU na adrese Průmyslová 998, Kosmonosy.</w:t>
      </w:r>
    </w:p>
    <w:p w14:paraId="15625A4D" w14:textId="77777777" w:rsidR="00C73F9C" w:rsidRDefault="00774F29">
      <w:pPr>
        <w:pStyle w:val="Zkladntext1"/>
        <w:jc w:val="center"/>
      </w:pPr>
      <w:r>
        <w:rPr>
          <w:rStyle w:val="Zkladntext"/>
          <w:b/>
          <w:bCs/>
        </w:rPr>
        <w:t>Část 2</w:t>
      </w:r>
      <w:r>
        <w:rPr>
          <w:rStyle w:val="Zkladntext"/>
          <w:b/>
          <w:bCs/>
        </w:rPr>
        <w:br/>
        <w:t>Účinnost</w:t>
      </w:r>
    </w:p>
    <w:p w14:paraId="792EF823" w14:textId="77777777" w:rsidR="00C73F9C" w:rsidRDefault="00774F29">
      <w:pPr>
        <w:pStyle w:val="Zkladntext1"/>
        <w:spacing w:after="0"/>
        <w:jc w:val="both"/>
      </w:pPr>
      <w:r>
        <w:rPr>
          <w:rStyle w:val="Zkladntext"/>
        </w:rPr>
        <w:t>Tato vyhláška nabývá účinnosti 15. dnem po dni vyhlášení.</w:t>
      </w:r>
    </w:p>
    <w:p w14:paraId="19F25173" w14:textId="19581DC7" w:rsidR="00C73F9C" w:rsidRDefault="00C73F9C">
      <w:pPr>
        <w:spacing w:line="1" w:lineRule="exact"/>
        <w:sectPr w:rsidR="00C73F9C">
          <w:pgSz w:w="11900" w:h="16840"/>
          <w:pgMar w:top="1654" w:right="1380" w:bottom="3436" w:left="1342" w:header="1226" w:footer="3008" w:gutter="0"/>
          <w:pgNumType w:start="1"/>
          <w:cols w:space="720"/>
          <w:noEndnote/>
          <w:docGrid w:linePitch="360"/>
        </w:sectPr>
      </w:pPr>
    </w:p>
    <w:p w14:paraId="002B70A3" w14:textId="77777777" w:rsidR="00C73F9C" w:rsidRDefault="00C73F9C">
      <w:pPr>
        <w:spacing w:line="240" w:lineRule="exact"/>
        <w:rPr>
          <w:sz w:val="19"/>
          <w:szCs w:val="19"/>
        </w:rPr>
      </w:pPr>
    </w:p>
    <w:p w14:paraId="1D8CD81C" w14:textId="77777777" w:rsidR="00C73F9C" w:rsidRDefault="00C73F9C">
      <w:pPr>
        <w:spacing w:line="240" w:lineRule="exact"/>
        <w:rPr>
          <w:sz w:val="19"/>
          <w:szCs w:val="19"/>
        </w:rPr>
      </w:pPr>
    </w:p>
    <w:p w14:paraId="3F4B7B2C" w14:textId="77777777" w:rsidR="00C73F9C" w:rsidRDefault="00C73F9C">
      <w:pPr>
        <w:spacing w:line="240" w:lineRule="exact"/>
        <w:rPr>
          <w:sz w:val="19"/>
          <w:szCs w:val="19"/>
        </w:rPr>
      </w:pPr>
    </w:p>
    <w:p w14:paraId="4DC11668" w14:textId="77777777" w:rsidR="00C73F9C" w:rsidRDefault="00C73F9C">
      <w:pPr>
        <w:spacing w:before="100" w:after="100" w:line="240" w:lineRule="exact"/>
        <w:rPr>
          <w:sz w:val="19"/>
          <w:szCs w:val="19"/>
        </w:rPr>
      </w:pPr>
    </w:p>
    <w:p w14:paraId="107DD22D" w14:textId="77777777" w:rsidR="00C73F9C" w:rsidRDefault="0050058E">
      <w:pPr>
        <w:spacing w:line="1" w:lineRule="exact"/>
      </w:pPr>
      <w:r>
        <w:tab/>
      </w:r>
    </w:p>
    <w:p w14:paraId="0385824E" w14:textId="69D4A84F" w:rsidR="0050058E" w:rsidRDefault="0050058E">
      <w:pPr>
        <w:spacing w:line="1" w:lineRule="exact"/>
        <w:sectPr w:rsidR="0050058E">
          <w:type w:val="continuous"/>
          <w:pgSz w:w="11900" w:h="16840"/>
          <w:pgMar w:top="1654" w:right="0" w:bottom="1654" w:left="0" w:header="0" w:footer="3" w:gutter="0"/>
          <w:cols w:space="720"/>
          <w:noEndnote/>
          <w:docGrid w:linePitch="360"/>
        </w:sectPr>
      </w:pPr>
    </w:p>
    <w:p w14:paraId="6897E315" w14:textId="77777777" w:rsidR="0050058E" w:rsidRDefault="0050058E" w:rsidP="0050058E">
      <w:pPr>
        <w:pStyle w:val="Zkladntext1"/>
        <w:tabs>
          <w:tab w:val="right" w:leader="dot" w:pos="4454"/>
        </w:tabs>
        <w:spacing w:after="0"/>
      </w:pPr>
    </w:p>
    <w:p w14:paraId="540399DB" w14:textId="2EB62CD0" w:rsidR="0050058E" w:rsidRDefault="0050058E" w:rsidP="0050058E">
      <w:pPr>
        <w:pStyle w:val="Zkladntext1"/>
        <w:tabs>
          <w:tab w:val="right" w:leader="dot" w:pos="4454"/>
        </w:tabs>
        <w:spacing w:after="0"/>
      </w:pPr>
      <w:r>
        <w:tab/>
        <w:t xml:space="preserve">           Ing. Jiří Müller </w:t>
      </w:r>
      <w:r w:rsidR="006F41C5">
        <w:t xml:space="preserve">v. r. </w:t>
      </w:r>
      <w:r>
        <w:t xml:space="preserve">                                                </w:t>
      </w:r>
      <w:r w:rsidR="006F41C5">
        <w:t xml:space="preserve">                </w:t>
      </w:r>
      <w:r>
        <w:t>Martin Macoun</w:t>
      </w:r>
      <w:r w:rsidR="006F41C5">
        <w:t xml:space="preserve"> v. r. </w:t>
      </w:r>
    </w:p>
    <w:p w14:paraId="1ECB6B12" w14:textId="1BB177E0" w:rsidR="0050058E" w:rsidRPr="0050058E" w:rsidRDefault="0050058E" w:rsidP="0050058E">
      <w:pPr>
        <w:pStyle w:val="Zkladntext1"/>
        <w:tabs>
          <w:tab w:val="right" w:leader="dot" w:pos="4454"/>
        </w:tabs>
        <w:spacing w:after="0"/>
      </w:pPr>
      <w:r>
        <w:t xml:space="preserve">           starosta                                                              </w:t>
      </w:r>
      <w:r w:rsidR="006F41C5">
        <w:t xml:space="preserve">                   </w:t>
      </w:r>
      <w:r>
        <w:t xml:space="preserve"> místostarosta</w:t>
      </w:r>
    </w:p>
    <w:p w14:paraId="64112B89" w14:textId="29324DD0" w:rsidR="00C73F9C" w:rsidRDefault="00C73F9C">
      <w:pPr>
        <w:pStyle w:val="Zkladntext1"/>
        <w:tabs>
          <w:tab w:val="right" w:leader="dot" w:pos="4454"/>
        </w:tabs>
        <w:spacing w:after="0"/>
      </w:pPr>
    </w:p>
    <w:sectPr w:rsidR="00C73F9C">
      <w:type w:val="continuous"/>
      <w:pgSz w:w="11900" w:h="16840"/>
      <w:pgMar w:top="1654" w:right="1380" w:bottom="1654" w:left="13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7D429" w14:textId="77777777" w:rsidR="00774F29" w:rsidRDefault="00774F29">
      <w:r>
        <w:separator/>
      </w:r>
    </w:p>
  </w:endnote>
  <w:endnote w:type="continuationSeparator" w:id="0">
    <w:p w14:paraId="726CB2BA" w14:textId="77777777" w:rsidR="00774F29" w:rsidRDefault="0077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53BE7" w14:textId="77777777" w:rsidR="00C73F9C" w:rsidRDefault="00C73F9C"/>
  </w:footnote>
  <w:footnote w:type="continuationSeparator" w:id="0">
    <w:p w14:paraId="2459D47F" w14:textId="77777777" w:rsidR="00C73F9C" w:rsidRDefault="00C73F9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F9C"/>
    <w:rsid w:val="001927D2"/>
    <w:rsid w:val="002172EF"/>
    <w:rsid w:val="0050058E"/>
    <w:rsid w:val="006F41C5"/>
    <w:rsid w:val="00774F29"/>
    <w:rsid w:val="00B73D73"/>
    <w:rsid w:val="00C73F9C"/>
    <w:rsid w:val="00D4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F522"/>
  <w15:docId w15:val="{7A67D715-2AAD-426D-BFF6-ADC49EB0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30303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0303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jc w:val="center"/>
    </w:pPr>
    <w:rPr>
      <w:rFonts w:ascii="Arial" w:eastAsia="Arial" w:hAnsi="Arial" w:cs="Arial"/>
      <w:color w:val="303030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220"/>
    </w:pPr>
    <w:rPr>
      <w:rFonts w:ascii="Arial" w:eastAsia="Arial" w:hAnsi="Arial" w:cs="Arial"/>
      <w:color w:val="30303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S25C-0i24072511320</dc:title>
  <dc:subject/>
  <dc:creator>JUDr.Tereza Folprechtova</dc:creator>
  <cp:keywords/>
  <cp:lastModifiedBy>JUDr.Tereza Folprechtova</cp:lastModifiedBy>
  <cp:revision>4</cp:revision>
  <dcterms:created xsi:type="dcterms:W3CDTF">2024-10-31T07:39:00Z</dcterms:created>
  <dcterms:modified xsi:type="dcterms:W3CDTF">2024-10-31T07:42:00Z</dcterms:modified>
</cp:coreProperties>
</file>