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F0" w:rsidRPr="008E7492" w:rsidRDefault="008E7492" w:rsidP="008D39F0">
      <w:pPr>
        <w:jc w:val="center"/>
        <w:rPr>
          <w:b/>
          <w:sz w:val="40"/>
          <w:szCs w:val="40"/>
        </w:rPr>
      </w:pPr>
      <w:r w:rsidRPr="008E7492">
        <w:rPr>
          <w:b/>
          <w:sz w:val="40"/>
          <w:szCs w:val="40"/>
        </w:rPr>
        <w:t>M Ě S T O   P O D B O Ř A N Y</w:t>
      </w:r>
    </w:p>
    <w:p w:rsidR="008D39F0" w:rsidRDefault="008D39F0" w:rsidP="008D39F0">
      <w:pPr>
        <w:jc w:val="center"/>
        <w:rPr>
          <w:b/>
          <w:sz w:val="20"/>
        </w:rPr>
      </w:pPr>
    </w:p>
    <w:p w:rsidR="008D39F0" w:rsidRPr="007913A8" w:rsidRDefault="008D39F0" w:rsidP="008D39F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8E7492">
        <w:rPr>
          <w:b/>
          <w:sz w:val="32"/>
        </w:rPr>
        <w:t>MĚSTA PODBOŘANY</w:t>
      </w:r>
    </w:p>
    <w:p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</w:t>
      </w:r>
    </w:p>
    <w:p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>o stanovení koeficientů pro výpočet daně z nemovitých věcí</w:t>
      </w:r>
    </w:p>
    <w:p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:rsidR="00C2482E" w:rsidRPr="00C2482E" w:rsidRDefault="00C2482E" w:rsidP="00C2482E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</w:t>
      </w:r>
      <w:r w:rsidR="008E7492">
        <w:rPr>
          <w:i/>
          <w:color w:val="000000"/>
          <w:sz w:val="24"/>
          <w:szCs w:val="24"/>
        </w:rPr>
        <w:t>města Podbořany</w:t>
      </w:r>
      <w:r w:rsidRPr="00C2482E">
        <w:rPr>
          <w:i/>
          <w:color w:val="000000"/>
          <w:sz w:val="24"/>
          <w:szCs w:val="24"/>
        </w:rPr>
        <w:t xml:space="preserve"> se </w:t>
      </w:r>
      <w:r w:rsidRPr="00B473F9">
        <w:rPr>
          <w:i/>
          <w:color w:val="000000"/>
          <w:sz w:val="24"/>
          <w:szCs w:val="24"/>
        </w:rPr>
        <w:t xml:space="preserve">usneslo dne </w:t>
      </w:r>
      <w:proofErr w:type="gramStart"/>
      <w:r w:rsidR="00470D08">
        <w:rPr>
          <w:i/>
          <w:color w:val="000000"/>
          <w:sz w:val="24"/>
          <w:szCs w:val="24"/>
        </w:rPr>
        <w:t>6.9.2023</w:t>
      </w:r>
      <w:proofErr w:type="gramEnd"/>
      <w:r w:rsidR="00470D08">
        <w:rPr>
          <w:i/>
          <w:color w:val="000000"/>
          <w:sz w:val="24"/>
          <w:szCs w:val="24"/>
        </w:rPr>
        <w:t>,</w:t>
      </w:r>
      <w:r w:rsidRPr="00B473F9">
        <w:rPr>
          <w:i/>
          <w:color w:val="000000"/>
          <w:sz w:val="24"/>
          <w:szCs w:val="24"/>
        </w:rPr>
        <w:t xml:space="preserve"> usnesením</w:t>
      </w:r>
      <w:r w:rsidRPr="00C2482E">
        <w:rPr>
          <w:i/>
          <w:color w:val="000000"/>
          <w:sz w:val="24"/>
          <w:szCs w:val="24"/>
        </w:rPr>
        <w:t xml:space="preserve"> č</w:t>
      </w:r>
      <w:r w:rsidR="00E06C36">
        <w:rPr>
          <w:i/>
          <w:color w:val="000000"/>
          <w:sz w:val="24"/>
          <w:szCs w:val="24"/>
        </w:rPr>
        <w:t>.</w:t>
      </w:r>
      <w:r w:rsidR="00B473F9">
        <w:rPr>
          <w:i/>
          <w:color w:val="000000"/>
          <w:sz w:val="24"/>
          <w:szCs w:val="24"/>
        </w:rPr>
        <w:t> </w:t>
      </w:r>
      <w:r w:rsidR="00470D08">
        <w:rPr>
          <w:i/>
          <w:color w:val="000000"/>
          <w:sz w:val="24"/>
          <w:szCs w:val="24"/>
        </w:rPr>
        <w:t>III.12.d.,</w:t>
      </w:r>
      <w:bookmarkStart w:id="0" w:name="_GoBack"/>
      <w:bookmarkEnd w:id="0"/>
      <w:r w:rsidR="008E7492"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>ustanovení § 11 odst. 3 písm. b)</w:t>
      </w:r>
      <w:r w:rsidR="00E06C36">
        <w:rPr>
          <w:i/>
          <w:color w:val="auto"/>
          <w:sz w:val="24"/>
          <w:szCs w:val="24"/>
        </w:rPr>
        <w:t xml:space="preserve"> a § 12</w:t>
      </w:r>
      <w:r w:rsidRPr="00C2482E">
        <w:rPr>
          <w:i/>
          <w:color w:val="auto"/>
          <w:sz w:val="24"/>
          <w:szCs w:val="24"/>
        </w:rPr>
        <w:t xml:space="preserve"> zákona č.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 dani z nemovitých věcí, ve znění pozdějších předpisů (dále jen „zákon o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věcí“), </w:t>
      </w:r>
      <w:r w:rsidRPr="00C2482E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C2482E">
        <w:rPr>
          <w:color w:val="000000"/>
        </w:rPr>
        <w:t> </w:t>
      </w:r>
      <w:r w:rsidRPr="00C2482E">
        <w:rPr>
          <w:i/>
          <w:color w:val="000000"/>
          <w:sz w:val="24"/>
          <w:szCs w:val="24"/>
        </w:rPr>
        <w:t>znění pozdějších předpisů, tuto obecně závaznou vyhlášku</w:t>
      </w:r>
      <w:r w:rsidR="008E7492">
        <w:rPr>
          <w:i/>
          <w:color w:val="000000"/>
          <w:sz w:val="24"/>
          <w:szCs w:val="24"/>
        </w:rPr>
        <w:t xml:space="preserve"> (dále jen „vyhláška“)</w:t>
      </w:r>
      <w:r w:rsidRPr="00C2482E">
        <w:rPr>
          <w:i/>
          <w:color w:val="000000"/>
          <w:sz w:val="24"/>
          <w:szCs w:val="24"/>
        </w:rPr>
        <w:t>:</w:t>
      </w:r>
    </w:p>
    <w:p w:rsidR="006A447D" w:rsidRDefault="006A447D" w:rsidP="00F656ED">
      <w:pPr>
        <w:autoSpaceDE w:val="0"/>
        <w:autoSpaceDN w:val="0"/>
        <w:adjustRightInd w:val="0"/>
        <w:rPr>
          <w:sz w:val="20"/>
        </w:rPr>
      </w:pPr>
    </w:p>
    <w:p w:rsidR="00C2482E" w:rsidRPr="00C2482E" w:rsidRDefault="00C2482E" w:rsidP="00C2482E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:rsidR="00C2482E" w:rsidRDefault="00C2482E" w:rsidP="00C2482E">
      <w:pPr>
        <w:jc w:val="center"/>
        <w:rPr>
          <w:b/>
        </w:rPr>
      </w:pPr>
      <w:r w:rsidRPr="00C2482E">
        <w:rPr>
          <w:b/>
        </w:rPr>
        <w:t>Koeficient – daň ze staveb a jednotek</w:t>
      </w:r>
    </w:p>
    <w:p w:rsidR="00B17182" w:rsidRPr="008E7492" w:rsidRDefault="00B17182" w:rsidP="00855478">
      <w:pPr>
        <w:rPr>
          <w:b/>
          <w:sz w:val="20"/>
        </w:rPr>
      </w:pPr>
    </w:p>
    <w:p w:rsidR="00855478" w:rsidRPr="005F0610" w:rsidRDefault="00855478" w:rsidP="008E7492">
      <w:pPr>
        <w:pStyle w:val="Zkladntext"/>
        <w:adjustRightInd w:val="0"/>
        <w:spacing w:after="0"/>
        <w:jc w:val="both"/>
      </w:pPr>
      <w:r w:rsidRPr="005F0610">
        <w:t xml:space="preserve">Pro výpočet sazby daně ze staveb a jednotek u zdanitelných staveb uvedených </w:t>
      </w:r>
      <w:r w:rsidRPr="005F0610">
        <w:rPr>
          <w:iCs/>
        </w:rPr>
        <w:t xml:space="preserve">v § 11 odst. 1 písm. b) </w:t>
      </w:r>
      <w:r w:rsidRPr="005F0610">
        <w:t>zákona o dani z nemovitých věcí</w:t>
      </w:r>
      <w:r w:rsidRPr="005F0610">
        <w:rPr>
          <w:rStyle w:val="Znakapoznpodarou"/>
        </w:rPr>
        <w:footnoteReference w:id="1"/>
      </w:r>
      <w:r w:rsidRPr="005F0610">
        <w:rPr>
          <w:vertAlign w:val="superscript"/>
        </w:rPr>
        <w:t>)</w:t>
      </w:r>
      <w:r w:rsidRPr="005F0610">
        <w:t xml:space="preserve"> a u zdanitelných staveb a zdanitelných jednotek </w:t>
      </w:r>
      <w:r w:rsidRPr="005F0610">
        <w:rPr>
          <w:iCs/>
        </w:rPr>
        <w:t>uvedených v § 11 odst. 1 písm. c)</w:t>
      </w:r>
      <w:r w:rsidRPr="005F0610">
        <w:rPr>
          <w:rStyle w:val="Znakapoznpodarou"/>
        </w:rPr>
        <w:footnoteReference w:id="2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a d)</w:t>
      </w:r>
      <w:r w:rsidRPr="005F0610">
        <w:rPr>
          <w:rStyle w:val="Znakapoznpodarou"/>
        </w:rPr>
        <w:footnoteReference w:id="3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</w:t>
      </w:r>
      <w:r w:rsidRPr="005F0610">
        <w:t>zákona o dani z nemovitých věcí</w:t>
      </w:r>
      <w:r w:rsidRPr="005F0610">
        <w:rPr>
          <w:iCs/>
        </w:rPr>
        <w:t xml:space="preserve"> </w:t>
      </w:r>
      <w:r w:rsidRPr="005F0610">
        <w:t xml:space="preserve">se stanoví dle § 11 odst. 3 písm. b) zákona </w:t>
      </w:r>
      <w:r w:rsidR="008E7492">
        <w:t xml:space="preserve">o dani z nemovitých věcí v celém městě </w:t>
      </w:r>
      <w:r w:rsidRPr="005F0610">
        <w:t xml:space="preserve">koeficient ve výši </w:t>
      </w:r>
      <w:r w:rsidRPr="005F0610">
        <w:rPr>
          <w:b/>
          <w:sz w:val="28"/>
          <w:szCs w:val="28"/>
        </w:rPr>
        <w:t>1,5</w:t>
      </w:r>
      <w:r w:rsidRPr="005F0610">
        <w:t>.</w:t>
      </w:r>
    </w:p>
    <w:p w:rsidR="00855478" w:rsidRPr="008E7492" w:rsidRDefault="00855478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  <w:bookmarkStart w:id="1" w:name="_Hlk72929634"/>
    </w:p>
    <w:p w:rsidR="001C72C0" w:rsidRDefault="001C72C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8E7492">
        <w:rPr>
          <w:b/>
          <w:bCs/>
        </w:rPr>
        <w:t>2</w:t>
      </w:r>
    </w:p>
    <w:p w:rsidR="00143654" w:rsidRDefault="00143654" w:rsidP="00F656E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Místní koeficient</w:t>
      </w:r>
    </w:p>
    <w:p w:rsidR="00E06C36" w:rsidRPr="008E7492" w:rsidRDefault="00E06C36" w:rsidP="00143654">
      <w:pPr>
        <w:autoSpaceDE w:val="0"/>
        <w:autoSpaceDN w:val="0"/>
        <w:adjustRightInd w:val="0"/>
        <w:jc w:val="both"/>
        <w:rPr>
          <w:sz w:val="20"/>
        </w:rPr>
      </w:pPr>
    </w:p>
    <w:bookmarkEnd w:id="1"/>
    <w:p w:rsidR="00855478" w:rsidRPr="005F0610" w:rsidRDefault="008E7492" w:rsidP="00855478">
      <w:pPr>
        <w:jc w:val="both"/>
      </w:pPr>
      <w:r>
        <w:t>P</w:t>
      </w:r>
      <w:r w:rsidRPr="008E7492">
        <w:t>ro všechny n</w:t>
      </w:r>
      <w:r>
        <w:t>emovité věci na území jednotlivých</w:t>
      </w:r>
      <w:r w:rsidRPr="008E7492">
        <w:t xml:space="preserve"> část</w:t>
      </w:r>
      <w:r>
        <w:t>í</w:t>
      </w:r>
      <w:r w:rsidRPr="008E7492">
        <w:t xml:space="preserve"> </w:t>
      </w:r>
      <w:r>
        <w:t xml:space="preserve">města vymezených parcelním číslem pozemků v příloze této vyhlášky </w:t>
      </w:r>
      <w:r w:rsidR="00855478" w:rsidRPr="005F0610">
        <w:t xml:space="preserve">se stanoví dle § 12 zákona o dani z nemovitých </w:t>
      </w:r>
      <w:r w:rsidR="00855478">
        <w:t>věcí</w:t>
      </w:r>
      <w:r w:rsidR="00855478" w:rsidRPr="005F0610">
        <w:t xml:space="preserve"> místní koeficient ve</w:t>
      </w:r>
      <w:r w:rsidR="00855478">
        <w:t> </w:t>
      </w:r>
      <w:r w:rsidR="00855478" w:rsidRPr="005F0610">
        <w:t xml:space="preserve">výši </w:t>
      </w:r>
      <w:r w:rsidR="00EC4CBB" w:rsidRPr="00EC4CBB">
        <w:rPr>
          <w:b/>
        </w:rPr>
        <w:t>2</w:t>
      </w:r>
      <w:r w:rsidR="00855478" w:rsidRPr="005F0610">
        <w:t>.</w:t>
      </w:r>
      <w:r w:rsidR="00855478" w:rsidRPr="005F0610">
        <w:rPr>
          <w:rStyle w:val="Znakapoznpodarou"/>
        </w:rPr>
        <w:footnoteReference w:id="4"/>
      </w:r>
      <w:r w:rsidR="00855478" w:rsidRPr="005F0610">
        <w:rPr>
          <w:vertAlign w:val="superscript"/>
        </w:rPr>
        <w:t>)</w:t>
      </w:r>
    </w:p>
    <w:p w:rsidR="00B17182" w:rsidRPr="008E7492" w:rsidRDefault="00B17182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B17182" w:rsidRDefault="00B17182" w:rsidP="00B17182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8E7492">
        <w:rPr>
          <w:b/>
          <w:bCs/>
        </w:rPr>
        <w:t>3</w:t>
      </w:r>
    </w:p>
    <w:p w:rsidR="00701570" w:rsidRPr="00C2482E" w:rsidRDefault="0070157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Účinnost</w:t>
      </w:r>
    </w:p>
    <w:p w:rsidR="006B290F" w:rsidRPr="00C2482E" w:rsidRDefault="006B290F" w:rsidP="00F656ED">
      <w:pPr>
        <w:autoSpaceDE w:val="0"/>
        <w:autoSpaceDN w:val="0"/>
        <w:adjustRightInd w:val="0"/>
        <w:rPr>
          <w:sz w:val="20"/>
        </w:rPr>
      </w:pPr>
    </w:p>
    <w:p w:rsidR="00D75A50" w:rsidRDefault="00D75A50" w:rsidP="00D75A50">
      <w:pPr>
        <w:autoSpaceDE w:val="0"/>
        <w:autoSpaceDN w:val="0"/>
        <w:adjustRightInd w:val="0"/>
        <w:jc w:val="both"/>
      </w:pPr>
      <w:r w:rsidRPr="00C2482E">
        <w:t>Tato</w:t>
      </w:r>
      <w:r w:rsidR="008E7492">
        <w:t xml:space="preserve"> </w:t>
      </w:r>
      <w:r w:rsidRPr="00C2482E">
        <w:t xml:space="preserve">vyhláška nabývá </w:t>
      </w:r>
      <w:r w:rsidR="00C2482E">
        <w:t>účinnosti dnem 1. 1. 202</w:t>
      </w:r>
      <w:r w:rsidR="00242F11">
        <w:t>4</w:t>
      </w:r>
      <w:r>
        <w:t>.</w:t>
      </w:r>
    </w:p>
    <w:p w:rsidR="00855478" w:rsidRDefault="00855478" w:rsidP="00D75A50">
      <w:pPr>
        <w:autoSpaceDE w:val="0"/>
        <w:autoSpaceDN w:val="0"/>
        <w:adjustRightInd w:val="0"/>
        <w:jc w:val="both"/>
      </w:pPr>
    </w:p>
    <w:p w:rsidR="00855478" w:rsidRDefault="00855478" w:rsidP="00D75A50">
      <w:pPr>
        <w:autoSpaceDE w:val="0"/>
        <w:autoSpaceDN w:val="0"/>
        <w:adjustRightInd w:val="0"/>
        <w:jc w:val="both"/>
      </w:pPr>
    </w:p>
    <w:p w:rsidR="003A7EDB" w:rsidRPr="00814C64" w:rsidRDefault="003A7EDB" w:rsidP="003A7EDB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A7EDB" w:rsidRPr="003209E9" w:rsidTr="00BE6261">
        <w:trPr>
          <w:trHeight w:val="80"/>
          <w:jc w:val="center"/>
        </w:trPr>
        <w:tc>
          <w:tcPr>
            <w:tcW w:w="4605" w:type="dxa"/>
          </w:tcPr>
          <w:p w:rsidR="003A7EDB" w:rsidRPr="003209E9" w:rsidRDefault="003A7EDB" w:rsidP="00BE6261">
            <w:pPr>
              <w:jc w:val="center"/>
            </w:pPr>
            <w:r w:rsidRPr="003209E9">
              <w:t>_______________________________</w:t>
            </w:r>
          </w:p>
        </w:tc>
        <w:tc>
          <w:tcPr>
            <w:tcW w:w="4605" w:type="dxa"/>
          </w:tcPr>
          <w:p w:rsidR="003A7EDB" w:rsidRPr="003209E9" w:rsidRDefault="003A7EDB" w:rsidP="00BE6261">
            <w:pPr>
              <w:jc w:val="center"/>
            </w:pPr>
            <w:r w:rsidRPr="003209E9">
              <w:t>_______________________________</w:t>
            </w:r>
          </w:p>
        </w:tc>
      </w:tr>
      <w:tr w:rsidR="003A7EDB" w:rsidRPr="00814C64" w:rsidTr="00BE6261">
        <w:trPr>
          <w:jc w:val="center"/>
        </w:trPr>
        <w:tc>
          <w:tcPr>
            <w:tcW w:w="4605" w:type="dxa"/>
          </w:tcPr>
          <w:p w:rsidR="003A7EDB" w:rsidRPr="003209E9" w:rsidRDefault="008E7492" w:rsidP="00BE6261">
            <w:pPr>
              <w:jc w:val="center"/>
            </w:pPr>
            <w:r>
              <w:t>Mgr. Stanislava Čapková</w:t>
            </w:r>
            <w:r w:rsidR="003A7EDB" w:rsidRPr="003209E9">
              <w:t xml:space="preserve"> v. r.</w:t>
            </w:r>
          </w:p>
          <w:p w:rsidR="003A7EDB" w:rsidRPr="003209E9" w:rsidRDefault="003A7EDB" w:rsidP="00BE6261">
            <w:pPr>
              <w:jc w:val="center"/>
            </w:pPr>
            <w:r>
              <w:t>m</w:t>
            </w:r>
            <w:r w:rsidRPr="003209E9">
              <w:t>ístostarost</w:t>
            </w:r>
            <w:r>
              <w:t>k</w:t>
            </w:r>
            <w:r w:rsidRPr="003209E9">
              <w:t>a</w:t>
            </w:r>
          </w:p>
        </w:tc>
        <w:tc>
          <w:tcPr>
            <w:tcW w:w="4605" w:type="dxa"/>
          </w:tcPr>
          <w:p w:rsidR="003A7EDB" w:rsidRPr="003209E9" w:rsidRDefault="008E7492" w:rsidP="00BE6261">
            <w:pPr>
              <w:jc w:val="center"/>
            </w:pPr>
            <w:r>
              <w:t>Mgr. Bc. Radek Reindl</w:t>
            </w:r>
            <w:r w:rsidR="003A7EDB" w:rsidRPr="003209E9">
              <w:t xml:space="preserve"> v. r.</w:t>
            </w:r>
          </w:p>
          <w:p w:rsidR="003A7EDB" w:rsidRPr="00814C64" w:rsidRDefault="003A7EDB" w:rsidP="00BE6261">
            <w:pPr>
              <w:jc w:val="center"/>
            </w:pPr>
            <w:r w:rsidRPr="003209E9">
              <w:t>starosta</w:t>
            </w:r>
          </w:p>
        </w:tc>
      </w:tr>
    </w:tbl>
    <w:p w:rsidR="00B17182" w:rsidRPr="008E7492" w:rsidRDefault="008E7492" w:rsidP="00855478">
      <w:pPr>
        <w:pStyle w:val="Zkladntext3"/>
        <w:rPr>
          <w:b/>
          <w:szCs w:val="24"/>
        </w:rPr>
      </w:pPr>
      <w:r w:rsidRPr="008E7492">
        <w:rPr>
          <w:b/>
          <w:szCs w:val="24"/>
        </w:rPr>
        <w:br w:type="page"/>
      </w:r>
      <w:r w:rsidRPr="008E7492">
        <w:rPr>
          <w:b/>
          <w:szCs w:val="24"/>
        </w:rPr>
        <w:lastRenderedPageBreak/>
        <w:t>Příloha obecně závazné vyhlášky, o stanovení koeficientů pro výpočet daně z nemovitých věcí</w:t>
      </w:r>
    </w:p>
    <w:p w:rsidR="008E7492" w:rsidRDefault="008E7492" w:rsidP="00855478">
      <w:pPr>
        <w:pStyle w:val="Zkladntext3"/>
        <w:rPr>
          <w:szCs w:val="24"/>
        </w:rPr>
      </w:pPr>
    </w:p>
    <w:p w:rsidR="008E7492" w:rsidRPr="008E7492" w:rsidRDefault="008E7492" w:rsidP="00855478">
      <w:pPr>
        <w:pStyle w:val="Zkladntext3"/>
        <w:rPr>
          <w:szCs w:val="24"/>
          <w:u w:val="single"/>
        </w:rPr>
      </w:pPr>
      <w:r>
        <w:rPr>
          <w:szCs w:val="24"/>
          <w:u w:val="single"/>
        </w:rPr>
        <w:t>Vymezení</w:t>
      </w:r>
      <w:r w:rsidRPr="008E7492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částí </w:t>
      </w:r>
      <w:r w:rsidRPr="008E7492">
        <w:rPr>
          <w:szCs w:val="24"/>
          <w:u w:val="single"/>
        </w:rPr>
        <w:t>města Podbořany podle čl. 2</w:t>
      </w:r>
      <w:r>
        <w:rPr>
          <w:szCs w:val="24"/>
          <w:u w:val="single"/>
        </w:rPr>
        <w:t xml:space="preserve"> vyhlášky</w:t>
      </w:r>
      <w:r w:rsidRPr="008E7492">
        <w:rPr>
          <w:szCs w:val="24"/>
          <w:u w:val="single"/>
        </w:rPr>
        <w:t>:</w:t>
      </w:r>
    </w:p>
    <w:p w:rsidR="008E7492" w:rsidRPr="00B35CF9" w:rsidRDefault="008E7492" w:rsidP="008E7492"/>
    <w:tbl>
      <w:tblPr>
        <w:tblW w:w="9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060"/>
        <w:gridCol w:w="2380"/>
        <w:gridCol w:w="3560"/>
        <w:gridCol w:w="505"/>
      </w:tblGrid>
      <w:tr w:rsidR="008E7492" w:rsidRPr="00B35CF9" w:rsidTr="002E7015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LV č.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Kněžice u Podbořan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St. </w:t>
            </w: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40, bytový dům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Kněžice u Podbořan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St. </w:t>
            </w: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36, bytový dům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Kněžice u Podbořan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St. </w:t>
            </w: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1, bytový dům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Kněžice u Podbořan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St. 418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Čp. 4 rodinný dům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Kněžice u Podbořan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St. 419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Kněžice u Podbořan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St. 425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Kněžice u Podbořan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St. 424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Čp 48, objekt k bydlení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Kněžice u Podbořan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St. 423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Kněžice u Podbořan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Kaštice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8/1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Kaštice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8/3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Kaštice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8/2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Kaštice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168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Kaštice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88/2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Kaštice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88/3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Kaštice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88/4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Kaštice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88/5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Kaštice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Kaštice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Pšov u Podbořan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3, rodinný dům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Pšov u Podbořan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13/1</w:t>
            </w:r>
            <w:r w:rsidRPr="00B35CF9">
              <w:rPr>
                <w:rFonts w:ascii="Calibri" w:hAnsi="Calibri" w:cs="Calibri"/>
                <w:color w:val="FFFFFF"/>
                <w:sz w:val="18"/>
                <w:szCs w:val="18"/>
              </w:rPr>
              <w:t>_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Sýrovice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30/1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Sýrovice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19, objekt k bydlení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Sýrovice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38/1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Sýrovice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Sýrovice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48/5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Sýrovice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507/5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Sýrovice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Sýrovice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Sýrovice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2796/31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2796/22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2796/26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327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328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287/2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287/1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288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326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2796/33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35/1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128, rodinný dům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35/2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184, rodinný dům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3077/5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1315/2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1315/3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1315/4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1267/2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1315/6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1315/5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1272/3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1267/5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183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1315/1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1315/7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1315/12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1315/11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2587/12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2587/2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2587/7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2587/8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2587/3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2587/9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2500/2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2587/1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ovocný sad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2587/11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2587/14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2587/4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2587/5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223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čp 199, objekt k bydlení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185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čp 246, objekt k bydlení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188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161,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186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čp 159, objekt k bydlení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299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st. 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673/2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680/4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680/3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680/2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623/34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667/2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680/12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680/8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680/11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680/6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Buškovice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680/9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1516/17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1516/22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1511/14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1511/13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1511/3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1657/69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1516/11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1511/9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1511/8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1511/6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1511/3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1511/13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1516/12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1518/1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1516/6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1516/15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zemědělská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1516/14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1516/13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3286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sz w:val="18"/>
                <w:szCs w:val="18"/>
              </w:rPr>
            </w:pPr>
            <w:r w:rsidRPr="00B35CF9">
              <w:rPr>
                <w:rFonts w:ascii="Calibri" w:hAnsi="Calibri" w:cs="Calibri"/>
                <w:sz w:val="18"/>
                <w:szCs w:val="18"/>
              </w:rPr>
              <w:t>1581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sz w:val="18"/>
                <w:szCs w:val="18"/>
              </w:rPr>
            </w:pPr>
            <w:r w:rsidRPr="00B35CF9">
              <w:rPr>
                <w:rFonts w:ascii="Calibri" w:hAnsi="Calibri" w:cs="Calibri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sz w:val="18"/>
                <w:szCs w:val="18"/>
              </w:rPr>
            </w:pPr>
            <w:r w:rsidRPr="00B35CF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35CF9">
              <w:rPr>
                <w:rFonts w:ascii="Calibri" w:hAnsi="Calibri" w:cs="Calibri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sz w:val="18"/>
                <w:szCs w:val="18"/>
              </w:rPr>
            </w:pPr>
            <w:r w:rsidRPr="00B35CF9">
              <w:rPr>
                <w:rFonts w:ascii="Calibri" w:hAnsi="Calibri" w:cs="Calibri"/>
                <w:sz w:val="18"/>
                <w:szCs w:val="18"/>
              </w:rPr>
              <w:t>1583/1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sz w:val="18"/>
                <w:szCs w:val="18"/>
              </w:rPr>
            </w:pPr>
            <w:r w:rsidRPr="00B35CF9">
              <w:rPr>
                <w:rFonts w:ascii="Calibri" w:hAnsi="Calibri" w:cs="Calibri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sz w:val="18"/>
                <w:szCs w:val="18"/>
              </w:rPr>
            </w:pPr>
            <w:r w:rsidRPr="00B35CF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35CF9">
              <w:rPr>
                <w:rFonts w:ascii="Calibri" w:hAnsi="Calibri" w:cs="Calibri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1583/2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1583/3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660, stavba pro administrativu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1586/1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1586/2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garáž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garáž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1590/1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1590/2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1590/3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1590/4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1590/5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1590/6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1590/7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1590/12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1590/13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1590/17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772/1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772/2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773/1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773/2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774/1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774/3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779/1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občanské vybavenosti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občanské vybavenosti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782/55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313,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784/17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787/1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787/5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787/6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787/7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789/2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789/3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789/4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789/5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789/6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789/7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791/1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792/2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807/3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1868/3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1870/6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1870/9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1871/1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1871/2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1871/3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1871/4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1871/5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1871/6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1871/7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1871/13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1872/1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1873/2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1873/3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1873/4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garáž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1873/6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1202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1911/1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1911/3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čp 989, stavba pro výrobu a skladování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, stavba pro výrobu a skladování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1913/19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pro administrativu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1920/2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2249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2250/2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2251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garáž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2252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garáž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794/5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3560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804/1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804/3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804/5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804/2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objekt občanské vybavenosti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804/6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794/1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804/8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795/7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804/9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1126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2199/1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čp 1184,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čp 117,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1906/6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1199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1934/3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708, rodinný dům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1949/2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1929/2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1148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1148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1148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1934/1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1148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1934/2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1148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1934/4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1148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1934/5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1148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1148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1148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1148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1926/4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čp 963, rodinný dům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1926/3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pro administrativu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1928/2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1928/1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707, objekt občanské vybavenosti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1923/4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1923/5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1925/1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1925/2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1925/3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1925/4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1926/2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1926/5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čp 41, bytový dům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35CF9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1919/9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1922/1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1921/8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0283B" w:rsidRDefault="008E7492" w:rsidP="002E7015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1921/1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1923/2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1923/3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1926/1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1921/2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1919/3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1919/5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1919/4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1919/2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jiná stavba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Podbořany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119,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247/22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248/2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vodní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205/1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čp 63,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205/2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205/3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205/4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pro administrativu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průmyslový objekt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pro výrobu a skladování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209/2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pro výrobu a skladování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212/3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212/4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212/5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212/6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212/7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212/8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213/2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213/3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213/4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213/5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213/6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213/7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121, stavba pro výrobu a skladování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pro výrobu a skladování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pro výrobu a skladování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stavba technického vybavení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193/4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194/10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1023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145, stavba pro výrobu a skladování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146, stavba pro výrobu a skladování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pro výrobu a skladování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124, stavba pro výrobu a skladování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188/146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objekt občanské vybavenosti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objekt občanské vybavenosti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čp 66, stavba pro administrativu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182/1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objekt občanské vybavenosti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182/3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objekt občanské vybavenosti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182/9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jiná stavba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182/10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pro administrativu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182/11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bez čp/</w:t>
            </w: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če</w:t>
            </w:r>
            <w:proofErr w:type="spellEnd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, stavba pro dopravu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185/3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  <w:tr w:rsidR="008E7492" w:rsidRPr="00B35CF9" w:rsidTr="002E701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Hlubany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185/4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492" w:rsidRPr="00B35CF9" w:rsidRDefault="008E7492" w:rsidP="002E701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5CF9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</w:tr>
    </w:tbl>
    <w:p w:rsidR="008E7492" w:rsidRDefault="008E7492" w:rsidP="008E7492"/>
    <w:p w:rsidR="008E7492" w:rsidRPr="00B17182" w:rsidRDefault="008E7492" w:rsidP="00855478">
      <w:pPr>
        <w:pStyle w:val="Zkladntext3"/>
        <w:rPr>
          <w:szCs w:val="24"/>
        </w:rPr>
      </w:pPr>
    </w:p>
    <w:sectPr w:rsidR="008E7492" w:rsidRPr="00B17182" w:rsidSect="008E7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7FB" w:rsidRDefault="003C47FB">
      <w:r>
        <w:separator/>
      </w:r>
    </w:p>
  </w:endnote>
  <w:endnote w:type="continuationSeparator" w:id="0">
    <w:p w:rsidR="003C47FB" w:rsidRDefault="003C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DA" w:rsidRDefault="006A59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DA" w:rsidRDefault="006A59D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DA" w:rsidRDefault="006A59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7FB" w:rsidRDefault="003C47FB">
      <w:r>
        <w:separator/>
      </w:r>
    </w:p>
  </w:footnote>
  <w:footnote w:type="continuationSeparator" w:id="0">
    <w:p w:rsidR="003C47FB" w:rsidRDefault="003C47FB">
      <w:r>
        <w:continuationSeparator/>
      </w:r>
    </w:p>
  </w:footnote>
  <w:footnote w:id="1">
    <w:p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2">
    <w:p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garáže vystavěné odděleně od budov obytných domů a zdanitelné jednotky, jejichž převažující část podlahové plochy je užívána jako garáž</w:t>
      </w:r>
    </w:p>
  </w:footnote>
  <w:footnote w:id="3">
    <w:p w:rsidR="00855478" w:rsidRPr="00567E2E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:rsidR="00855478" w:rsidRPr="00567E2E" w:rsidRDefault="00855478" w:rsidP="00855478">
      <w:pPr>
        <w:pStyle w:val="Textpoznpodarou"/>
        <w:jc w:val="both"/>
      </w:pPr>
      <w:r w:rsidRPr="00567E2E">
        <w:t xml:space="preserve">    1. podnikání v zemědělské prvovýrobě, lesním nebo vodním hospodářství,</w:t>
      </w:r>
    </w:p>
    <w:p w:rsidR="00855478" w:rsidRPr="00567E2E" w:rsidRDefault="00855478" w:rsidP="00855478">
      <w:pPr>
        <w:pStyle w:val="Textpoznpodarou"/>
      </w:pPr>
      <w:r w:rsidRPr="00567E2E">
        <w:t xml:space="preserve">    2. podnikání v průmyslu, stavebnictví, dopravě, energetice nebo ostatní zemědělské výrobě,</w:t>
      </w:r>
    </w:p>
    <w:p w:rsidR="00855478" w:rsidRPr="004006BB" w:rsidRDefault="00855478" w:rsidP="00855478">
      <w:pPr>
        <w:pStyle w:val="Textpoznpodarou"/>
        <w:jc w:val="both"/>
      </w:pPr>
      <w:r w:rsidRPr="00567E2E">
        <w:t xml:space="preserve">    3. ostatním druhům podnikání</w:t>
      </w:r>
    </w:p>
  </w:footnote>
  <w:footnote w:id="4">
    <w:p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DA" w:rsidRDefault="006A59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DA" w:rsidRDefault="006A59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5DE5"/>
    <w:multiLevelType w:val="hybridMultilevel"/>
    <w:tmpl w:val="B26C4DD8"/>
    <w:lvl w:ilvl="0" w:tplc="B93E376A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7"/>
  </w:num>
  <w:num w:numId="5">
    <w:abstractNumId w:val="2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8"/>
  </w:num>
  <w:num w:numId="10">
    <w:abstractNumId w:val="15"/>
  </w:num>
  <w:num w:numId="11">
    <w:abstractNumId w:val="21"/>
  </w:num>
  <w:num w:numId="12">
    <w:abstractNumId w:val="7"/>
  </w:num>
  <w:num w:numId="13">
    <w:abstractNumId w:val="5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19"/>
  </w:num>
  <w:num w:numId="19">
    <w:abstractNumId w:val="20"/>
  </w:num>
  <w:num w:numId="20">
    <w:abstractNumId w:val="4"/>
  </w:num>
  <w:num w:numId="21">
    <w:abstractNumId w:val="11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0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0D523D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80864"/>
    <w:rsid w:val="003869F8"/>
    <w:rsid w:val="003974C6"/>
    <w:rsid w:val="003A7EDB"/>
    <w:rsid w:val="003B6696"/>
    <w:rsid w:val="003C1939"/>
    <w:rsid w:val="003C198E"/>
    <w:rsid w:val="003C3D12"/>
    <w:rsid w:val="003C47FB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0D08"/>
    <w:rsid w:val="004717AB"/>
    <w:rsid w:val="00497DAF"/>
    <w:rsid w:val="004B5268"/>
    <w:rsid w:val="004C4367"/>
    <w:rsid w:val="004D0F7C"/>
    <w:rsid w:val="004D27C2"/>
    <w:rsid w:val="004E5A66"/>
    <w:rsid w:val="004F468E"/>
    <w:rsid w:val="004F69BC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A59DA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39F0"/>
    <w:rsid w:val="008D4E3C"/>
    <w:rsid w:val="008E7492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5353"/>
    <w:rsid w:val="00A96B91"/>
    <w:rsid w:val="00AA7D8D"/>
    <w:rsid w:val="00AB13A3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473F9"/>
    <w:rsid w:val="00B715B1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E2840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EC4CBB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uiPriority w:val="99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paragraph" w:styleId="Odstavecseseznamem">
    <w:name w:val="List Paragraph"/>
    <w:basedOn w:val="Normln"/>
    <w:uiPriority w:val="34"/>
    <w:qFormat/>
    <w:rsid w:val="008E7492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E74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ledovanodkaz">
    <w:name w:val="FollowedHyperlink"/>
    <w:uiPriority w:val="99"/>
    <w:unhideWhenUsed/>
    <w:rsid w:val="008E7492"/>
    <w:rPr>
      <w:color w:val="954F72"/>
      <w:u w:val="single"/>
    </w:rPr>
  </w:style>
  <w:style w:type="paragraph" w:customStyle="1" w:styleId="font5">
    <w:name w:val="font5"/>
    <w:basedOn w:val="Normln"/>
    <w:rsid w:val="008E7492"/>
    <w:pPr>
      <w:spacing w:before="100" w:beforeAutospacing="1" w:after="100" w:afterAutospacing="1"/>
    </w:pPr>
    <w:rPr>
      <w:rFonts w:ascii="Calibri" w:hAnsi="Calibri" w:cs="Calibri"/>
      <w:color w:val="FFFFFF"/>
      <w:sz w:val="18"/>
      <w:szCs w:val="18"/>
    </w:rPr>
  </w:style>
  <w:style w:type="paragraph" w:customStyle="1" w:styleId="xl65">
    <w:name w:val="xl65"/>
    <w:basedOn w:val="Normln"/>
    <w:rsid w:val="008E74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6">
    <w:name w:val="xl66"/>
    <w:basedOn w:val="Normln"/>
    <w:rsid w:val="008E74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7">
    <w:name w:val="xl67"/>
    <w:basedOn w:val="Normln"/>
    <w:rsid w:val="008E74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Normln"/>
    <w:rsid w:val="008E7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ln"/>
    <w:rsid w:val="008E7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ln"/>
    <w:rsid w:val="008E7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1">
    <w:name w:val="xl71"/>
    <w:basedOn w:val="Normln"/>
    <w:rsid w:val="008E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ln"/>
    <w:rsid w:val="008E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Normln"/>
    <w:rsid w:val="008E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4">
    <w:name w:val="xl74"/>
    <w:basedOn w:val="Normln"/>
    <w:rsid w:val="008E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Normln"/>
    <w:rsid w:val="008E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ln"/>
    <w:rsid w:val="008E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xl77">
    <w:name w:val="xl77"/>
    <w:basedOn w:val="Normln"/>
    <w:rsid w:val="008E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"/>
    <w:rsid w:val="008E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144BBA6-D7A7-473A-94EC-24AA8D2D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4468</Words>
  <Characters>26362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30769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Gonda Lukáš | MěÚ Podbořany</cp:lastModifiedBy>
  <cp:revision>3</cp:revision>
  <cp:lastPrinted>2021-06-18T07:46:00Z</cp:lastPrinted>
  <dcterms:created xsi:type="dcterms:W3CDTF">2023-08-29T08:07:00Z</dcterms:created>
  <dcterms:modified xsi:type="dcterms:W3CDTF">2023-09-08T06:59:00Z</dcterms:modified>
</cp:coreProperties>
</file>