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E6" w:rsidRDefault="00B877E6" w:rsidP="00B877E6">
      <w:pPr>
        <w:tabs>
          <w:tab w:val="right" w:pos="10577"/>
        </w:tabs>
        <w:spacing w:after="3"/>
        <w:ind w:left="-15"/>
        <w:rPr>
          <w:rFonts w:ascii="Arial" w:eastAsia="Tahoma" w:hAnsi="Arial" w:cs="Arial"/>
          <w:b/>
          <w:sz w:val="24"/>
          <w:szCs w:val="24"/>
        </w:rPr>
      </w:pPr>
      <w:r>
        <w:rPr>
          <w:rFonts w:ascii="Arial" w:eastAsia="Tahoma" w:hAnsi="Arial" w:cs="Arial"/>
          <w:b/>
          <w:sz w:val="24"/>
          <w:szCs w:val="24"/>
        </w:rPr>
        <w:t>Příloh</w:t>
      </w:r>
      <w:r w:rsidR="00FE39FE">
        <w:rPr>
          <w:rFonts w:ascii="Arial" w:eastAsia="Tahoma" w:hAnsi="Arial" w:cs="Arial"/>
          <w:b/>
          <w:sz w:val="24"/>
          <w:szCs w:val="24"/>
        </w:rPr>
        <w:t>a č. 2 obecně závazné vyhlášky p</w:t>
      </w:r>
      <w:bookmarkStart w:id="0" w:name="_GoBack"/>
      <w:bookmarkEnd w:id="0"/>
      <w:r w:rsidR="00AF4633">
        <w:rPr>
          <w:rFonts w:ascii="Arial" w:eastAsia="Tahoma" w:hAnsi="Arial" w:cs="Arial"/>
          <w:b/>
          <w:sz w:val="24"/>
          <w:szCs w:val="24"/>
        </w:rPr>
        <w:t>ožární řád města Holic</w:t>
      </w:r>
    </w:p>
    <w:p w:rsidR="005C75C0" w:rsidRPr="00AF4633" w:rsidRDefault="005C75C0">
      <w:pPr>
        <w:rPr>
          <w:rFonts w:ascii="Arial" w:hAnsi="Arial" w:cs="Arial"/>
          <w:sz w:val="20"/>
          <w:szCs w:val="20"/>
        </w:rPr>
      </w:pPr>
    </w:p>
    <w:p w:rsidR="00DC5DF9" w:rsidRPr="008954DE" w:rsidRDefault="00DC5DF9">
      <w:pPr>
        <w:rPr>
          <w:rFonts w:ascii="Arial" w:hAnsi="Arial" w:cs="Arial"/>
          <w:b/>
        </w:rPr>
      </w:pPr>
      <w:r w:rsidRPr="008954DE">
        <w:rPr>
          <w:rFonts w:ascii="Arial" w:hAnsi="Arial" w:cs="Arial"/>
          <w:b/>
        </w:rPr>
        <w:t>Zdroje vody pro hašení požárů na území města Holic</w:t>
      </w:r>
      <w:r w:rsidR="008910E5" w:rsidRPr="008954DE">
        <w:rPr>
          <w:rFonts w:ascii="Arial" w:hAnsi="Arial" w:cs="Arial"/>
          <w:b/>
        </w:rPr>
        <w:t>:</w:t>
      </w:r>
    </w:p>
    <w:p w:rsidR="00A77C40" w:rsidRPr="00AF4633" w:rsidRDefault="00A77C40" w:rsidP="00A77C40">
      <w:pPr>
        <w:rPr>
          <w:rFonts w:ascii="Arial" w:hAnsi="Arial" w:cs="Arial"/>
          <w:sz w:val="20"/>
          <w:szCs w:val="20"/>
        </w:rPr>
      </w:pPr>
      <w:r w:rsidRPr="00AF4633">
        <w:rPr>
          <w:rFonts w:ascii="Arial" w:hAnsi="Arial" w:cs="Arial"/>
          <w:sz w:val="20"/>
          <w:szCs w:val="20"/>
        </w:rPr>
        <w:t>Holice – hydrantová síť</w:t>
      </w:r>
    </w:p>
    <w:p w:rsidR="00A77C40" w:rsidRPr="00AF4633" w:rsidRDefault="00A77C40" w:rsidP="00A77C40">
      <w:pPr>
        <w:rPr>
          <w:rFonts w:ascii="Arial" w:hAnsi="Arial" w:cs="Arial"/>
          <w:sz w:val="20"/>
          <w:szCs w:val="20"/>
        </w:rPr>
      </w:pPr>
      <w:r w:rsidRPr="00AF4633">
        <w:rPr>
          <w:rFonts w:ascii="Arial" w:hAnsi="Arial" w:cs="Arial"/>
          <w:sz w:val="20"/>
          <w:szCs w:val="20"/>
        </w:rPr>
        <w:t>Holice – studna čp. 1036 v ul. Hradecká</w:t>
      </w:r>
    </w:p>
    <w:p w:rsidR="00A77C40" w:rsidRPr="00AF4633" w:rsidRDefault="00A77C40" w:rsidP="00A77C40">
      <w:pPr>
        <w:rPr>
          <w:rFonts w:ascii="Arial" w:hAnsi="Arial" w:cs="Arial"/>
          <w:sz w:val="20"/>
          <w:szCs w:val="20"/>
        </w:rPr>
      </w:pPr>
      <w:r w:rsidRPr="00AF4633">
        <w:rPr>
          <w:rFonts w:ascii="Arial" w:hAnsi="Arial" w:cs="Arial"/>
          <w:sz w:val="20"/>
          <w:szCs w:val="20"/>
        </w:rPr>
        <w:t>Holice – vodní nádrž Blažkovec</w:t>
      </w:r>
    </w:p>
    <w:p w:rsidR="00A77C40" w:rsidRPr="00AF4633" w:rsidRDefault="00A77C40" w:rsidP="00A77C40">
      <w:pPr>
        <w:rPr>
          <w:rFonts w:ascii="Arial" w:hAnsi="Arial" w:cs="Arial"/>
          <w:sz w:val="20"/>
          <w:szCs w:val="20"/>
        </w:rPr>
      </w:pPr>
      <w:r w:rsidRPr="00AF4633">
        <w:rPr>
          <w:rFonts w:ascii="Arial" w:hAnsi="Arial" w:cs="Arial"/>
          <w:sz w:val="20"/>
          <w:szCs w:val="20"/>
        </w:rPr>
        <w:t>Holice – vodní nádrž v ul. Staroholická u domu čp. 64</w:t>
      </w:r>
    </w:p>
    <w:p w:rsidR="00DC5DF9" w:rsidRPr="00AF4633" w:rsidRDefault="00DC5DF9">
      <w:pPr>
        <w:rPr>
          <w:rFonts w:ascii="Arial" w:hAnsi="Arial" w:cs="Arial"/>
          <w:sz w:val="20"/>
          <w:szCs w:val="20"/>
        </w:rPr>
      </w:pPr>
    </w:p>
    <w:p w:rsidR="008910E5" w:rsidRPr="008954DE" w:rsidRDefault="008910E5">
      <w:pPr>
        <w:rPr>
          <w:rFonts w:ascii="Arial" w:hAnsi="Arial" w:cs="Arial"/>
          <w:b/>
        </w:rPr>
      </w:pPr>
      <w:r w:rsidRPr="008954DE">
        <w:rPr>
          <w:rFonts w:ascii="Arial" w:hAnsi="Arial" w:cs="Arial"/>
          <w:b/>
        </w:rPr>
        <w:t>Seznam míst s podzemními hydranty: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076"/>
        <w:gridCol w:w="2244"/>
        <w:gridCol w:w="5349"/>
      </w:tblGrid>
      <w:tr w:rsidR="008910E5" w:rsidRPr="00AF4633" w:rsidTr="00401FC5">
        <w:trPr>
          <w:trHeight w:val="567"/>
        </w:trPr>
        <w:tc>
          <w:tcPr>
            <w:tcW w:w="2076" w:type="dxa"/>
            <w:vAlign w:val="center"/>
          </w:tcPr>
          <w:p w:rsidR="008910E5" w:rsidRPr="008954DE" w:rsidRDefault="008910E5" w:rsidP="00C967BB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54DE">
              <w:rPr>
                <w:rFonts w:ascii="Arial" w:hAnsi="Arial" w:cs="Arial"/>
                <w:b/>
                <w:sz w:val="20"/>
                <w:szCs w:val="20"/>
              </w:rPr>
              <w:t>Město</w:t>
            </w:r>
          </w:p>
        </w:tc>
        <w:tc>
          <w:tcPr>
            <w:tcW w:w="2244" w:type="dxa"/>
            <w:vAlign w:val="center"/>
          </w:tcPr>
          <w:p w:rsidR="008910E5" w:rsidRPr="008954DE" w:rsidRDefault="008910E5" w:rsidP="00C967BB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54DE">
              <w:rPr>
                <w:rFonts w:ascii="Arial" w:hAnsi="Arial" w:cs="Arial"/>
                <w:b/>
                <w:sz w:val="20"/>
                <w:szCs w:val="20"/>
              </w:rPr>
              <w:t>Katastrální území</w:t>
            </w:r>
          </w:p>
        </w:tc>
        <w:tc>
          <w:tcPr>
            <w:tcW w:w="5349" w:type="dxa"/>
            <w:vAlign w:val="center"/>
          </w:tcPr>
          <w:p w:rsidR="008910E5" w:rsidRPr="008954DE" w:rsidRDefault="008910E5" w:rsidP="00C967BB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54DE">
              <w:rPr>
                <w:rFonts w:ascii="Arial" w:hAnsi="Arial" w:cs="Arial"/>
                <w:b/>
                <w:sz w:val="20"/>
                <w:szCs w:val="20"/>
              </w:rPr>
              <w:t>Určení umístění podzemního hydrantu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Holice</w:t>
            </w: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Holice</w:t>
            </w:r>
            <w:r w:rsidR="00C967BB" w:rsidRPr="00C967BB">
              <w:rPr>
                <w:rFonts w:ascii="Arial" w:hAnsi="Arial" w:cs="Arial"/>
                <w:sz w:val="20"/>
                <w:szCs w:val="20"/>
              </w:rPr>
              <w:t xml:space="preserve"> v Čechách</w:t>
            </w: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Hanzlova, u domu čp. 111, 119, 112, 134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Dukelská, u domu čp. 355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Dudychova, hydrant po celé ulici, u čp. 118 studna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Družstevní, naproti domu čp. 879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Hradecká, u domu čp. 59, 463, naproti čp. 510, mezi</w:t>
            </w:r>
            <w:r w:rsidR="008954DE">
              <w:rPr>
                <w:rFonts w:ascii="Arial" w:hAnsi="Arial" w:cs="Arial"/>
                <w:sz w:val="20"/>
                <w:szCs w:val="20"/>
              </w:rPr>
              <w:t> </w:t>
            </w:r>
            <w:r w:rsidRPr="00C967BB">
              <w:rPr>
                <w:rFonts w:ascii="Arial" w:hAnsi="Arial" w:cs="Arial"/>
                <w:sz w:val="20"/>
                <w:szCs w:val="20"/>
              </w:rPr>
              <w:t xml:space="preserve">čp. 51 – 49, 48 - 471 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Havlíčkova, u domu čp. 68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Holubova, u domu čp. 446, 39, 735, 847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Husova, u domu čp. 780, 480, 494, 560, 529, 543, 661, 468, 859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Jiráskova, u domu čp. 619, 686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Josefská, u domu čp. 815, 382, 225, 2, 390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Jungmannova, u domu čp. 2, 6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Kpt. Jaroše, u domu čp. 320, 710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Klicperova, před kostelem v ul. Komenského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 xml:space="preserve">Komenského, u domu čp. 302, 94 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5. Května, u domu čp. 477, 342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6. Května, u domu čp. 826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9. Května, křižovatka s ulicí Staroholická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K Zastávce, u domu čp. 147, 356, 357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Vysokomýtská, u domu čp. 149, 184, 289, 318, 694, naproti čp. 159, 445, 538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Brat</w:t>
            </w:r>
            <w:r w:rsidR="00AF4633" w:rsidRPr="00C967BB">
              <w:rPr>
                <w:rFonts w:ascii="Arial" w:hAnsi="Arial" w:cs="Arial"/>
                <w:sz w:val="20"/>
                <w:szCs w:val="20"/>
              </w:rPr>
              <w:t xml:space="preserve">ří Čapků, u domu čp. 942, 716, </w:t>
            </w:r>
            <w:r w:rsidRPr="00C967BB">
              <w:rPr>
                <w:rFonts w:ascii="Arial" w:hAnsi="Arial" w:cs="Arial"/>
                <w:sz w:val="20"/>
                <w:szCs w:val="20"/>
              </w:rPr>
              <w:t xml:space="preserve">Podhráz – potok </w:t>
            </w:r>
            <w:proofErr w:type="spellStart"/>
            <w:r w:rsidR="00401FC5">
              <w:rPr>
                <w:rFonts w:ascii="Arial" w:hAnsi="Arial" w:cs="Arial"/>
                <w:sz w:val="20"/>
                <w:szCs w:val="20"/>
              </w:rPr>
              <w:t>Ř</w:t>
            </w:r>
            <w:r w:rsidRPr="00C967BB">
              <w:rPr>
                <w:rFonts w:ascii="Arial" w:hAnsi="Arial" w:cs="Arial"/>
                <w:sz w:val="20"/>
                <w:szCs w:val="20"/>
              </w:rPr>
              <w:t>edička</w:t>
            </w:r>
            <w:proofErr w:type="spellEnd"/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1. Máje, u domu čp. 223, 233, 239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Mládežnická, u domu čp. 409, 878, 773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Mírová, u domu čp. 342 v ul. 5. Května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 xml:space="preserve">Na Mušce, hydrantová síť značena na kovových sloupcích u chodníku v trávě, potok </w:t>
            </w:r>
            <w:proofErr w:type="spellStart"/>
            <w:r w:rsidRPr="00C967BB">
              <w:rPr>
                <w:rFonts w:ascii="Arial" w:hAnsi="Arial" w:cs="Arial"/>
                <w:sz w:val="20"/>
                <w:szCs w:val="20"/>
              </w:rPr>
              <w:t>Ředička</w:t>
            </w:r>
            <w:proofErr w:type="spellEnd"/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Na Balkáně, u domu čp. 78, 340, 360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Staroholická, u domu čp. 40, 266, 246, 269, 275, 280, 310, 304, 328, 170, 191, 56, 294, 293, 337</w:t>
            </w:r>
            <w:r w:rsidR="00AF4633" w:rsidRPr="00C967BB">
              <w:rPr>
                <w:rFonts w:ascii="Arial" w:hAnsi="Arial" w:cs="Arial"/>
                <w:sz w:val="20"/>
                <w:szCs w:val="20"/>
              </w:rPr>
              <w:t xml:space="preserve">, 78, 227, 296, 245, 407, 140, </w:t>
            </w:r>
            <w:r w:rsidRPr="00C967BB">
              <w:rPr>
                <w:rFonts w:ascii="Arial" w:hAnsi="Arial" w:cs="Arial"/>
                <w:sz w:val="20"/>
                <w:szCs w:val="20"/>
              </w:rPr>
              <w:t xml:space="preserve">naproti čp. 16, 312, 345,246, mezi čp. 258 - 264 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Nerudova, u domu čp. 192, 366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Palackého, u domu čp. 246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Pardubická, u domu čp. 158, 676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Puškinova, u domu čp. 663, 426, 705, 684, 719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Revoluční, u domu čp. 812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Růžičkova, u domu čp. 365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28. Října, u domu čp. 527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Smetanova, u domu čp. 710, 437, 387, 371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Nám. TGM, u domu čp. 2, 13, 18, 25, 33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Tyršova, u domu čp. 690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Ve Drahách, v ul. 1. Máje, u domu čp. 223, 233, 239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Nezvalova, u domu čp. 245, 274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Vrchlického, u domu čp. 183, 196, 198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Zahradní, u domu čp. 733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Zborovská, u domu čp. 773, 575</w:t>
            </w:r>
          </w:p>
        </w:tc>
      </w:tr>
      <w:tr w:rsidR="008910E5" w:rsidRPr="00AF4633" w:rsidTr="00401FC5">
        <w:trPr>
          <w:trHeight w:val="454"/>
        </w:trPr>
        <w:tc>
          <w:tcPr>
            <w:tcW w:w="2076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910E5" w:rsidRPr="00C967BB" w:rsidRDefault="008910E5" w:rsidP="00C967B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8910E5" w:rsidRPr="00C967BB" w:rsidRDefault="008910E5" w:rsidP="008954D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BB">
              <w:rPr>
                <w:rFonts w:ascii="Arial" w:hAnsi="Arial" w:cs="Arial"/>
                <w:sz w:val="20"/>
                <w:szCs w:val="20"/>
              </w:rPr>
              <w:t>Žižkova, u domu čp. 666</w:t>
            </w:r>
          </w:p>
        </w:tc>
      </w:tr>
    </w:tbl>
    <w:p w:rsidR="00B877E6" w:rsidRPr="00B877E6" w:rsidRDefault="00B877E6">
      <w:pPr>
        <w:rPr>
          <w:rFonts w:ascii="Arial" w:hAnsi="Arial" w:cs="Arial"/>
          <w:sz w:val="24"/>
          <w:szCs w:val="24"/>
        </w:rPr>
      </w:pPr>
    </w:p>
    <w:sectPr w:rsidR="00B877E6" w:rsidRPr="00B877E6" w:rsidSect="00F26635">
      <w:foot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635" w:rsidRDefault="00F26635" w:rsidP="00F26635">
      <w:pPr>
        <w:spacing w:after="0" w:line="240" w:lineRule="auto"/>
      </w:pPr>
      <w:r>
        <w:separator/>
      </w:r>
    </w:p>
  </w:endnote>
  <w:endnote w:type="continuationSeparator" w:id="0">
    <w:p w:rsidR="00F26635" w:rsidRDefault="00F26635" w:rsidP="00F2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635" w:rsidRDefault="00F26635" w:rsidP="00F26635">
    <w:pPr>
      <w:pStyle w:val="Zpat"/>
      <w:jc w:val="right"/>
    </w:pPr>
    <w:r>
      <w:t>Stránka 2 z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635" w:rsidRDefault="00F26635" w:rsidP="00F26635">
      <w:pPr>
        <w:spacing w:after="0" w:line="240" w:lineRule="auto"/>
      </w:pPr>
      <w:r>
        <w:separator/>
      </w:r>
    </w:p>
  </w:footnote>
  <w:footnote w:type="continuationSeparator" w:id="0">
    <w:p w:rsidR="00F26635" w:rsidRDefault="00F26635" w:rsidP="00F26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7E6"/>
    <w:rsid w:val="00401FC5"/>
    <w:rsid w:val="004A7947"/>
    <w:rsid w:val="005C75C0"/>
    <w:rsid w:val="008910E5"/>
    <w:rsid w:val="008954DE"/>
    <w:rsid w:val="00A026D8"/>
    <w:rsid w:val="00A77C40"/>
    <w:rsid w:val="00AF4633"/>
    <w:rsid w:val="00B877E6"/>
    <w:rsid w:val="00C967BB"/>
    <w:rsid w:val="00DC5DF9"/>
    <w:rsid w:val="00F26635"/>
    <w:rsid w:val="00FE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9A300-BF5C-4563-AB15-3F8F83C1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7E6"/>
    <w:pPr>
      <w:spacing w:after="160" w:line="254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6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635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6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635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Žídek Marcel</dc:creator>
  <cp:lastModifiedBy>Vitman Petr, Bc.</cp:lastModifiedBy>
  <cp:revision>8</cp:revision>
  <dcterms:created xsi:type="dcterms:W3CDTF">2023-02-09T11:28:00Z</dcterms:created>
  <dcterms:modified xsi:type="dcterms:W3CDTF">2023-03-15T14:53:00Z</dcterms:modified>
</cp:coreProperties>
</file>