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F3A" w:rsidRDefault="00D90F3A" w:rsidP="00D90F3A">
      <w:pPr>
        <w:spacing w:line="276" w:lineRule="auto"/>
        <w:jc w:val="center"/>
        <w:rPr>
          <w:b/>
          <w:color w:val="000000"/>
        </w:rPr>
      </w:pPr>
      <w:bookmarkStart w:id="0" w:name="_Hlk196745533"/>
      <w:r>
        <w:rPr>
          <w:b/>
          <w:color w:val="000000"/>
        </w:rPr>
        <w:t>Město Velké Meziříčí</w:t>
      </w:r>
    </w:p>
    <w:p w:rsidR="00D90F3A" w:rsidRDefault="00D90F3A" w:rsidP="00D90F3A">
      <w:pPr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t>Zastupitelstvo Města Velké Meziříčí</w:t>
      </w:r>
    </w:p>
    <w:p w:rsidR="00D90F3A" w:rsidRDefault="00D90F3A" w:rsidP="00D90F3A">
      <w:pPr>
        <w:spacing w:line="276" w:lineRule="auto"/>
        <w:jc w:val="center"/>
        <w:rPr>
          <w:b/>
          <w:color w:val="000000"/>
        </w:rPr>
      </w:pPr>
    </w:p>
    <w:p w:rsidR="00D90F3A" w:rsidRDefault="00D90F3A" w:rsidP="00D90F3A">
      <w:pPr>
        <w:spacing w:line="276" w:lineRule="auto"/>
        <w:jc w:val="center"/>
        <w:rPr>
          <w:b/>
          <w:color w:val="00B0F0"/>
        </w:rPr>
      </w:pPr>
      <w:r>
        <w:rPr>
          <w:b/>
          <w:color w:val="000000"/>
        </w:rPr>
        <w:t>Obecně závazná vyhláška města Velké Meziříčí,</w:t>
      </w:r>
    </w:p>
    <w:p w:rsidR="00D90F3A" w:rsidRDefault="00D90F3A" w:rsidP="00D90F3A">
      <w:pPr>
        <w:spacing w:after="120" w:line="276" w:lineRule="auto"/>
        <w:jc w:val="center"/>
        <w:rPr>
          <w:b/>
          <w:color w:val="000000"/>
        </w:rPr>
      </w:pPr>
      <w:r>
        <w:rPr>
          <w:b/>
          <w:color w:val="000000"/>
        </w:rPr>
        <w:t>kterou se reguluje konzumace alkoholických nápojů</w:t>
      </w:r>
    </w:p>
    <w:p w:rsidR="00D90F3A" w:rsidRDefault="00D90F3A" w:rsidP="00D90F3A">
      <w:pPr>
        <w:spacing w:after="120" w:line="276" w:lineRule="auto"/>
        <w:jc w:val="center"/>
        <w:rPr>
          <w:b/>
          <w:color w:val="000000"/>
        </w:rPr>
      </w:pPr>
    </w:p>
    <w:p w:rsidR="00D90F3A" w:rsidRDefault="00D90F3A" w:rsidP="00D90F3A">
      <w:pPr>
        <w:spacing w:after="12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Zastupitelstvo města Velké Meziříčí se na svém zasedání dne 15.9.2026 </w:t>
      </w:r>
      <w:r w:rsidR="0002008E">
        <w:rPr>
          <w:rFonts w:eastAsia="Calibri"/>
          <w:lang w:eastAsia="en-US"/>
        </w:rPr>
        <w:t xml:space="preserve">usnesením č. </w:t>
      </w:r>
      <w:r w:rsidR="006E28B6">
        <w:rPr>
          <w:rFonts w:eastAsia="Calibri"/>
          <w:lang w:eastAsia="en-US"/>
        </w:rPr>
        <w:t>728/28</w:t>
      </w:r>
      <w:r w:rsidR="0002008E">
        <w:rPr>
          <w:rFonts w:eastAsia="Calibri"/>
          <w:lang w:eastAsia="en-US"/>
        </w:rPr>
        <w:t xml:space="preserve">/2026/ZM </w:t>
      </w:r>
      <w:r>
        <w:rPr>
          <w:rFonts w:eastAsia="Calibri"/>
          <w:lang w:eastAsia="en-US"/>
        </w:rPr>
        <w:t xml:space="preserve">usneslo vydat na základě </w:t>
      </w:r>
      <w:bookmarkStart w:id="1" w:name="_Hlk159326315"/>
      <w:r>
        <w:rPr>
          <w:rFonts w:eastAsia="Calibri"/>
          <w:lang w:eastAsia="en-US"/>
        </w:rPr>
        <w:t xml:space="preserve">§ 17 odst. 2 písm. a) zákona č. 65/2017 Sb., o ochraně zdraví před škodlivými účinky návykových látek, ve znění pozdějších předpisů (dále jen „zákon o ochraně zdraví před škodlivými účinky návykových látek“), a § 10 písm. a) </w:t>
      </w:r>
      <w:bookmarkEnd w:id="1"/>
      <w:r>
        <w:rPr>
          <w:rFonts w:eastAsia="Calibri"/>
          <w:lang w:eastAsia="en-US"/>
        </w:rPr>
        <w:t>a d) a § 84 odst. 2 písm. h) zákona č. 128/2000 Sb., o obcích (obecní zřízení), ve znění pozdějších předpisů, tuto obecně závaznou vyhlášku (dále jen „vyhláška“):</w:t>
      </w:r>
    </w:p>
    <w:p w:rsidR="00D90F3A" w:rsidRDefault="00D90F3A" w:rsidP="00D90F3A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eastAsia="PingFang SC"/>
          <w:b/>
          <w:bCs/>
          <w:kern w:val="3"/>
          <w:lang w:eastAsia="zh-CN" w:bidi="hi-IN"/>
        </w:rPr>
      </w:pPr>
      <w:r>
        <w:rPr>
          <w:rFonts w:eastAsia="PingFang SC"/>
          <w:b/>
          <w:bCs/>
          <w:kern w:val="3"/>
          <w:lang w:eastAsia="zh-CN" w:bidi="hi-IN"/>
        </w:rPr>
        <w:t>Čl. 1</w:t>
      </w:r>
      <w:r>
        <w:rPr>
          <w:rFonts w:eastAsia="PingFang SC"/>
          <w:b/>
          <w:bCs/>
          <w:kern w:val="3"/>
          <w:lang w:eastAsia="zh-CN" w:bidi="hi-IN"/>
        </w:rPr>
        <w:br/>
        <w:t>Úvodní ustanovení</w:t>
      </w:r>
    </w:p>
    <w:p w:rsidR="00D90F3A" w:rsidRDefault="00D90F3A" w:rsidP="00D90F3A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ind w:left="567"/>
        <w:jc w:val="both"/>
        <w:textAlignment w:val="baseline"/>
        <w:rPr>
          <w:rFonts w:eastAsia="Arial"/>
          <w:kern w:val="3"/>
          <w:lang w:eastAsia="zh-CN" w:bidi="hi-IN"/>
        </w:rPr>
      </w:pPr>
      <w:r>
        <w:rPr>
          <w:rFonts w:eastAsia="Arial"/>
          <w:kern w:val="3"/>
          <w:lang w:eastAsia="zh-CN" w:bidi="hi-IN"/>
        </w:rPr>
        <w:t>Tato vyhláška je vydávána za účelem ochrany veřejného pořádku ve městě</w:t>
      </w:r>
      <w:r>
        <w:rPr>
          <w:rFonts w:eastAsia="Arial"/>
          <w:color w:val="00B0F0"/>
          <w:kern w:val="3"/>
          <w:lang w:eastAsia="zh-CN" w:bidi="hi-IN"/>
        </w:rPr>
        <w:t xml:space="preserve"> </w:t>
      </w:r>
      <w:r>
        <w:rPr>
          <w:rFonts w:eastAsia="Arial"/>
          <w:kern w:val="3"/>
          <w:lang w:eastAsia="zh-CN" w:bidi="hi-IN"/>
        </w:rPr>
        <w:t>a v návaznosti na jiné právní předpisy</w:t>
      </w:r>
      <w:r>
        <w:rPr>
          <w:vertAlign w:val="superscript"/>
        </w:rPr>
        <w:footnoteReference w:id="1"/>
      </w:r>
      <w:r>
        <w:rPr>
          <w:rFonts w:eastAsia="Arial"/>
          <w:kern w:val="3"/>
          <w:lang w:eastAsia="zh-CN" w:bidi="hi-IN"/>
        </w:rPr>
        <w:t> stanovuje další opatření k posílení ochrany zdraví před škodlivými účinky konzumace alkoholických nápojů.</w:t>
      </w:r>
      <w:r>
        <w:rPr>
          <w:vertAlign w:val="superscript"/>
        </w:rPr>
        <w:footnoteReference w:id="2"/>
      </w:r>
    </w:p>
    <w:p w:rsidR="00D90F3A" w:rsidRDefault="00D90F3A" w:rsidP="00D90F3A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ind w:left="567"/>
        <w:jc w:val="both"/>
        <w:textAlignment w:val="baseline"/>
        <w:rPr>
          <w:rFonts w:eastAsia="Arial"/>
          <w:kern w:val="3"/>
          <w:lang w:eastAsia="zh-CN" w:bidi="hi-IN"/>
        </w:rPr>
      </w:pPr>
      <w:r>
        <w:rPr>
          <w:rFonts w:eastAsia="Arial"/>
          <w:kern w:val="3"/>
          <w:lang w:eastAsia="zh-CN" w:bidi="hi-IN"/>
        </w:rPr>
        <w:t>Předmětem této vyhlášky je zákaz konzumace alkoholických nápojů na některých veřejných prostranstvích.</w:t>
      </w:r>
    </w:p>
    <w:p w:rsidR="00D90F3A" w:rsidRDefault="00D90F3A" w:rsidP="00D90F3A">
      <w:pPr>
        <w:tabs>
          <w:tab w:val="left" w:pos="567"/>
        </w:tabs>
        <w:suppressAutoHyphens/>
        <w:autoSpaceDN w:val="0"/>
        <w:spacing w:after="120" w:line="276" w:lineRule="auto"/>
        <w:ind w:left="567"/>
        <w:jc w:val="both"/>
        <w:textAlignment w:val="baseline"/>
        <w:rPr>
          <w:rFonts w:eastAsia="Arial"/>
          <w:kern w:val="3"/>
          <w:lang w:eastAsia="zh-CN" w:bidi="hi-IN"/>
        </w:rPr>
      </w:pPr>
    </w:p>
    <w:p w:rsidR="00D90F3A" w:rsidRDefault="00D90F3A" w:rsidP="00D90F3A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eastAsia="PingFang SC"/>
          <w:b/>
          <w:bCs/>
          <w:kern w:val="3"/>
          <w:lang w:eastAsia="zh-CN" w:bidi="hi-IN"/>
        </w:rPr>
      </w:pPr>
      <w:bookmarkStart w:id="2" w:name="_Hlk196808935"/>
      <w:bookmarkEnd w:id="0"/>
      <w:r>
        <w:rPr>
          <w:rFonts w:eastAsia="PingFang SC"/>
          <w:b/>
          <w:bCs/>
          <w:kern w:val="3"/>
          <w:lang w:eastAsia="zh-CN" w:bidi="hi-IN"/>
        </w:rPr>
        <w:t>Čl. 2</w:t>
      </w:r>
      <w:r>
        <w:rPr>
          <w:rFonts w:eastAsia="PingFang SC"/>
          <w:b/>
          <w:bCs/>
          <w:kern w:val="3"/>
          <w:lang w:eastAsia="zh-CN" w:bidi="hi-IN"/>
        </w:rPr>
        <w:br/>
        <w:t>Zákaz konzumace alkoholických nápojů</w:t>
      </w:r>
    </w:p>
    <w:p w:rsidR="00D90F3A" w:rsidRDefault="00D90F3A" w:rsidP="00D90F3A">
      <w:pPr>
        <w:keepLines/>
        <w:numPr>
          <w:ilvl w:val="0"/>
          <w:numId w:val="2"/>
        </w:numPr>
        <w:tabs>
          <w:tab w:val="left" w:pos="567"/>
        </w:tabs>
        <w:suppressAutoHyphens/>
        <w:autoSpaceDN w:val="0"/>
        <w:spacing w:after="120" w:line="276" w:lineRule="auto"/>
        <w:ind w:left="567" w:hanging="567"/>
        <w:contextualSpacing/>
        <w:jc w:val="both"/>
        <w:textAlignment w:val="baseline"/>
        <w:rPr>
          <w:bCs/>
          <w:color w:val="ED7D31"/>
        </w:rPr>
      </w:pPr>
      <w:r>
        <w:rPr>
          <w:rFonts w:eastAsia="Arial"/>
          <w:kern w:val="3"/>
          <w:lang w:eastAsia="zh-CN" w:bidi="hi-IN"/>
        </w:rPr>
        <w:t xml:space="preserve">Konzumace alkoholických nápojů a zdržování se s otevřenou nádobou s alkoholickým nápojem (dále jen „zákaz konzumace alkoholických nápojů“) je zakázána na veřejných prostranstvích </w:t>
      </w:r>
      <w:r w:rsidR="0002008E">
        <w:rPr>
          <w:rFonts w:eastAsia="Arial"/>
          <w:kern w:val="3"/>
          <w:lang w:eastAsia="zh-CN" w:bidi="hi-IN"/>
        </w:rPr>
        <w:t>vymezených v</w:t>
      </w:r>
      <w:r>
        <w:rPr>
          <w:rFonts w:eastAsia="Arial"/>
          <w:kern w:val="3"/>
          <w:lang w:eastAsia="zh-CN" w:bidi="hi-IN"/>
        </w:rPr>
        <w:t xml:space="preserve"> příloze této vyhláš</w:t>
      </w:r>
      <w:r w:rsidR="00E77CDD">
        <w:rPr>
          <w:rFonts w:eastAsia="Arial"/>
          <w:kern w:val="3"/>
          <w:lang w:eastAsia="zh-CN" w:bidi="hi-IN"/>
        </w:rPr>
        <w:t>ky.</w:t>
      </w:r>
    </w:p>
    <w:p w:rsidR="00D90F3A" w:rsidRDefault="00D90F3A" w:rsidP="00D90F3A">
      <w:pPr>
        <w:keepLines/>
        <w:tabs>
          <w:tab w:val="left" w:pos="567"/>
        </w:tabs>
        <w:suppressAutoHyphens/>
        <w:autoSpaceDN w:val="0"/>
        <w:spacing w:after="120" w:line="276" w:lineRule="auto"/>
        <w:ind w:left="709"/>
        <w:contextualSpacing/>
        <w:jc w:val="both"/>
        <w:textAlignment w:val="baseline"/>
        <w:rPr>
          <w:bCs/>
          <w:color w:val="ED7D31"/>
        </w:rPr>
      </w:pPr>
    </w:p>
    <w:p w:rsidR="00D90F3A" w:rsidRDefault="00D90F3A" w:rsidP="00D90F3A">
      <w:pPr>
        <w:keepLines/>
        <w:numPr>
          <w:ilvl w:val="0"/>
          <w:numId w:val="2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bCs/>
        </w:rPr>
      </w:pPr>
      <w:r>
        <w:rPr>
          <w:bCs/>
        </w:rPr>
        <w:t xml:space="preserve">  Zákaz konzumace alkoholických nápojů neplatí</w:t>
      </w:r>
    </w:p>
    <w:p w:rsidR="00D90F3A" w:rsidRDefault="00D90F3A" w:rsidP="00D90F3A">
      <w:pPr>
        <w:pStyle w:val="Odstavecseseznamem"/>
        <w:keepLines/>
        <w:numPr>
          <w:ilvl w:val="0"/>
          <w:numId w:val="3"/>
        </w:numPr>
        <w:tabs>
          <w:tab w:val="left" w:pos="567"/>
        </w:tabs>
        <w:suppressAutoHyphens/>
        <w:autoSpaceDN w:val="0"/>
        <w:spacing w:before="240" w:after="120" w:line="276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ve dnech 31. prosince a 1. ledna,</w:t>
      </w:r>
    </w:p>
    <w:p w:rsidR="00D90F3A" w:rsidRDefault="00D90F3A" w:rsidP="00D90F3A">
      <w:pPr>
        <w:pStyle w:val="Odstavecseseznamem"/>
        <w:keepLines/>
        <w:numPr>
          <w:ilvl w:val="0"/>
          <w:numId w:val="3"/>
        </w:numPr>
        <w:spacing w:before="24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na restauračních zahrádkách a předzahrádkách, které jsou součástí restauračních zařízení, kaváren a cukráren, a to po dobu jejich provozu,</w:t>
      </w:r>
    </w:p>
    <w:p w:rsidR="00D90F3A" w:rsidRDefault="00D90F3A" w:rsidP="00D90F3A">
      <w:pPr>
        <w:pStyle w:val="Odstavecseseznamem"/>
        <w:keepLines/>
        <w:numPr>
          <w:ilvl w:val="0"/>
          <w:numId w:val="3"/>
        </w:numPr>
        <w:spacing w:before="24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 místě a době konání kulturní, sportovní nebo jiné společenské akce přístupné veřejnosti.</w:t>
      </w:r>
    </w:p>
    <w:p w:rsidR="00D90F3A" w:rsidRDefault="00D90F3A" w:rsidP="00D90F3A">
      <w:pPr>
        <w:keepLines/>
        <w:spacing w:after="120" w:line="276" w:lineRule="auto"/>
        <w:contextualSpacing/>
        <w:jc w:val="both"/>
        <w:rPr>
          <w:bCs/>
        </w:rPr>
      </w:pPr>
    </w:p>
    <w:bookmarkEnd w:id="2"/>
    <w:p w:rsidR="00D90F3A" w:rsidRDefault="00D90F3A" w:rsidP="00D90F3A">
      <w:pPr>
        <w:keepNext/>
        <w:spacing w:before="360" w:line="276" w:lineRule="auto"/>
        <w:jc w:val="center"/>
        <w:rPr>
          <w:b/>
        </w:rPr>
      </w:pPr>
      <w:r>
        <w:rPr>
          <w:b/>
        </w:rPr>
        <w:lastRenderedPageBreak/>
        <w:t>Čl. 3</w:t>
      </w:r>
    </w:p>
    <w:p w:rsidR="00D90F3A" w:rsidRDefault="00D90F3A" w:rsidP="00D90F3A">
      <w:pPr>
        <w:keepNext/>
        <w:spacing w:after="120" w:line="276" w:lineRule="auto"/>
        <w:jc w:val="center"/>
        <w:rPr>
          <w:b/>
        </w:rPr>
      </w:pPr>
      <w:r>
        <w:rPr>
          <w:b/>
        </w:rPr>
        <w:t>Zrušovací ustanovení</w:t>
      </w:r>
    </w:p>
    <w:p w:rsidR="00D90F3A" w:rsidRDefault="00D90F3A" w:rsidP="00D90F3A">
      <w:pPr>
        <w:spacing w:after="120" w:line="276" w:lineRule="auto"/>
        <w:ind w:firstLine="567"/>
        <w:jc w:val="both"/>
      </w:pPr>
      <w:r>
        <w:t>Zrušuje se obecně závazná vyhláška města Velké Meziříčí č. 2/2024, kterou se zakazuje požívání alkoholických nápojů na vymezených veřejných prostranstvích, ze dne 10.9.2024.</w:t>
      </w:r>
    </w:p>
    <w:p w:rsidR="00D90F3A" w:rsidRDefault="00D90F3A" w:rsidP="00D90F3A">
      <w:pPr>
        <w:spacing w:after="120" w:line="276" w:lineRule="auto"/>
        <w:ind w:firstLine="567"/>
        <w:jc w:val="both"/>
      </w:pPr>
    </w:p>
    <w:p w:rsidR="00D90F3A" w:rsidRDefault="00D90F3A" w:rsidP="00D90F3A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eastAsia="PingFang SC"/>
          <w:b/>
          <w:bCs/>
          <w:kern w:val="3"/>
          <w:lang w:eastAsia="zh-CN" w:bidi="hi-IN"/>
        </w:rPr>
      </w:pPr>
      <w:r>
        <w:rPr>
          <w:rFonts w:eastAsia="PingFang SC"/>
          <w:b/>
          <w:bCs/>
          <w:kern w:val="3"/>
          <w:lang w:eastAsia="zh-CN" w:bidi="hi-IN"/>
        </w:rPr>
        <w:t>Čl. 4</w:t>
      </w:r>
      <w:r>
        <w:rPr>
          <w:rFonts w:eastAsia="PingFang SC"/>
          <w:b/>
          <w:bCs/>
          <w:kern w:val="3"/>
          <w:lang w:eastAsia="zh-CN" w:bidi="hi-IN"/>
        </w:rPr>
        <w:br/>
        <w:t>Účinnost</w:t>
      </w:r>
    </w:p>
    <w:p w:rsidR="00D90F3A" w:rsidRDefault="00D90F3A" w:rsidP="00D90F3A">
      <w:pPr>
        <w:spacing w:after="120" w:line="276" w:lineRule="auto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Tato vyhláška nabývá účinnosti počátkem patnáctého dne následujícího po dni jejího vyhlášení.</w:t>
      </w:r>
    </w:p>
    <w:p w:rsidR="00D90F3A" w:rsidRDefault="00D90F3A" w:rsidP="00D90F3A">
      <w:pPr>
        <w:spacing w:after="120" w:line="276" w:lineRule="auto"/>
        <w:ind w:firstLine="567"/>
        <w:jc w:val="both"/>
        <w:rPr>
          <w:rFonts w:eastAsia="Calibri"/>
          <w:lang w:eastAsia="en-US"/>
        </w:rPr>
      </w:pPr>
    </w:p>
    <w:p w:rsidR="00D90F3A" w:rsidRDefault="00D90F3A" w:rsidP="00D90F3A">
      <w:pPr>
        <w:spacing w:after="120" w:line="276" w:lineRule="auto"/>
        <w:ind w:firstLine="567"/>
        <w:jc w:val="both"/>
        <w:rPr>
          <w:rFonts w:eastAsia="Calibri"/>
          <w:lang w:eastAsia="en-US"/>
        </w:rPr>
      </w:pPr>
    </w:p>
    <w:p w:rsidR="00D90F3A" w:rsidRDefault="00D90F3A" w:rsidP="00AD67F4">
      <w:pPr>
        <w:pStyle w:val="Zkladntext"/>
        <w:tabs>
          <w:tab w:val="left" w:pos="1440"/>
          <w:tab w:val="left" w:pos="7020"/>
        </w:tabs>
        <w:spacing w:after="0" w:line="264" w:lineRule="auto"/>
        <w:rPr>
          <w:i/>
          <w:szCs w:val="24"/>
        </w:rPr>
      </w:pPr>
    </w:p>
    <w:p w:rsidR="00D90F3A" w:rsidRDefault="00D90F3A" w:rsidP="00D90F3A">
      <w:pPr>
        <w:pStyle w:val="Zkladntext"/>
        <w:tabs>
          <w:tab w:val="left" w:pos="1080"/>
          <w:tab w:val="left" w:pos="6660"/>
        </w:tabs>
        <w:spacing w:after="0" w:line="264" w:lineRule="auto"/>
        <w:rPr>
          <w:szCs w:val="24"/>
        </w:rPr>
      </w:pPr>
      <w:r>
        <w:rPr>
          <w:szCs w:val="24"/>
        </w:rPr>
        <w:t xml:space="preserve">      Ing. arch. Alexandros Kaminaras</w:t>
      </w:r>
      <w:r w:rsidR="00AD67F4">
        <w:rPr>
          <w:szCs w:val="24"/>
        </w:rPr>
        <w:t xml:space="preserve"> v. r.                                         </w:t>
      </w:r>
      <w:r>
        <w:rPr>
          <w:szCs w:val="24"/>
        </w:rPr>
        <w:t>Martin Kaman</w:t>
      </w:r>
      <w:r w:rsidR="00AD67F4">
        <w:rPr>
          <w:szCs w:val="24"/>
        </w:rPr>
        <w:t xml:space="preserve"> v. r.</w:t>
      </w:r>
      <w:bookmarkStart w:id="3" w:name="_GoBack"/>
      <w:bookmarkEnd w:id="3"/>
    </w:p>
    <w:p w:rsidR="00D90F3A" w:rsidRDefault="00D90F3A" w:rsidP="00D90F3A">
      <w:pPr>
        <w:pStyle w:val="Zkladntext"/>
        <w:tabs>
          <w:tab w:val="left" w:pos="1080"/>
          <w:tab w:val="left" w:pos="7020"/>
        </w:tabs>
        <w:spacing w:after="0" w:line="264" w:lineRule="auto"/>
        <w:ind w:left="709"/>
        <w:rPr>
          <w:szCs w:val="24"/>
        </w:rPr>
      </w:pPr>
      <w:r>
        <w:rPr>
          <w:szCs w:val="24"/>
        </w:rPr>
        <w:tab/>
        <w:t xml:space="preserve">            starosta                                                                       místostarosta</w:t>
      </w:r>
    </w:p>
    <w:p w:rsidR="0026054C" w:rsidRDefault="0026054C"/>
    <w:sectPr w:rsidR="002605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F3A" w:rsidRDefault="00D90F3A" w:rsidP="00D90F3A">
      <w:r>
        <w:separator/>
      </w:r>
    </w:p>
  </w:endnote>
  <w:endnote w:type="continuationSeparator" w:id="0">
    <w:p w:rsidR="00D90F3A" w:rsidRDefault="00D90F3A" w:rsidP="00D9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ingFang SC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F3A" w:rsidRDefault="00D90F3A" w:rsidP="00D90F3A">
      <w:r>
        <w:separator/>
      </w:r>
    </w:p>
  </w:footnote>
  <w:footnote w:type="continuationSeparator" w:id="0">
    <w:p w:rsidR="00D90F3A" w:rsidRDefault="00D90F3A" w:rsidP="00D90F3A">
      <w:r>
        <w:continuationSeparator/>
      </w:r>
    </w:p>
  </w:footnote>
  <w:footnote w:id="1">
    <w:p w:rsidR="00D90F3A" w:rsidRDefault="00D90F3A" w:rsidP="00D90F3A">
      <w:pPr>
        <w:pStyle w:val="Footnote"/>
        <w:rPr>
          <w:rFonts w:ascii="Times New Roman" w:hAnsi="Times New Roman" w:cs="Times New Roman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Například § 11 a násl. zákona o ochraně zdraví před škodlivými účinky návykových látek.</w:t>
      </w:r>
    </w:p>
  </w:footnote>
  <w:footnote w:id="2">
    <w:p w:rsidR="00D90F3A" w:rsidRDefault="00D90F3A" w:rsidP="00D90F3A">
      <w:pPr>
        <w:pStyle w:val="Footnote"/>
        <w:rPr>
          <w:rFonts w:ascii="Times New Roman" w:hAnsi="Times New Roman" w:cs="Times New Roman"/>
        </w:rPr>
      </w:pPr>
      <w:r>
        <w:rPr>
          <w:rStyle w:val="Znakapoznpodarou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§ 2 písm. f) zákona o ochraně zdraví před škodlivými účinky návykových látek.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7466C"/>
    <w:multiLevelType w:val="hybridMultilevel"/>
    <w:tmpl w:val="DAF8FECC"/>
    <w:lvl w:ilvl="0" w:tplc="73282466">
      <w:start w:val="1"/>
      <w:numFmt w:val="decimal"/>
      <w:lvlText w:val="(%1)"/>
      <w:lvlJc w:val="left"/>
      <w:pPr>
        <w:ind w:left="360" w:hanging="360"/>
      </w:pPr>
      <w:rPr>
        <w:color w:val="auto"/>
      </w:rPr>
    </w:lvl>
    <w:lvl w:ilvl="1" w:tplc="37F2C368">
      <w:start w:val="1"/>
      <w:numFmt w:val="lowerLetter"/>
      <w:lvlText w:val="%2)"/>
      <w:lvlJc w:val="left"/>
      <w:pPr>
        <w:ind w:left="1353" w:hanging="360"/>
      </w:pPr>
      <w:rPr>
        <w:rFonts w:ascii="Arial" w:eastAsia="Times New Roman" w:hAnsi="Arial" w:cs="Arial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A11CDF"/>
    <w:multiLevelType w:val="multilevel"/>
    <w:tmpl w:val="E972402A"/>
    <w:lvl w:ilvl="0">
      <w:start w:val="1"/>
      <w:numFmt w:val="decimal"/>
      <w:lvlText w:val="(%1)"/>
      <w:lvlJc w:val="left"/>
      <w:pPr>
        <w:ind w:left="491" w:hanging="567"/>
      </w:pPr>
    </w:lvl>
    <w:lvl w:ilvl="1">
      <w:start w:val="1"/>
      <w:numFmt w:val="lowerLetter"/>
      <w:lvlText w:val="%2)"/>
      <w:lvlJc w:val="left"/>
      <w:pPr>
        <w:ind w:left="851" w:hanging="360"/>
      </w:pPr>
      <w:rPr>
        <w:color w:val="auto"/>
      </w:rPr>
    </w:lvl>
    <w:lvl w:ilvl="2">
      <w:start w:val="1"/>
      <w:numFmt w:val="decimal"/>
      <w:lvlText w:val="(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decimal"/>
      <w:lvlText w:val="(%5)"/>
      <w:lvlJc w:val="left"/>
      <w:pPr>
        <w:ind w:left="2084" w:hanging="360"/>
      </w:pPr>
    </w:lvl>
    <w:lvl w:ilvl="5">
      <w:start w:val="1"/>
      <w:numFmt w:val="decimal"/>
      <w:lvlText w:val="(%6)"/>
      <w:lvlJc w:val="left"/>
      <w:pPr>
        <w:ind w:left="2444" w:hanging="360"/>
      </w:pPr>
    </w:lvl>
    <w:lvl w:ilvl="6">
      <w:start w:val="1"/>
      <w:numFmt w:val="decimal"/>
      <w:lvlText w:val="(%7)"/>
      <w:lvlJc w:val="left"/>
      <w:pPr>
        <w:ind w:left="2804" w:hanging="360"/>
      </w:pPr>
    </w:lvl>
    <w:lvl w:ilvl="7">
      <w:start w:val="1"/>
      <w:numFmt w:val="decimal"/>
      <w:lvlText w:val="(%8)"/>
      <w:lvlJc w:val="left"/>
      <w:pPr>
        <w:ind w:left="3164" w:hanging="360"/>
      </w:pPr>
    </w:lvl>
    <w:lvl w:ilvl="8">
      <w:start w:val="1"/>
      <w:numFmt w:val="decimal"/>
      <w:lvlText w:val="(%9)"/>
      <w:lvlJc w:val="left"/>
      <w:pPr>
        <w:ind w:left="3524" w:hanging="360"/>
      </w:pPr>
    </w:lvl>
  </w:abstractNum>
  <w:abstractNum w:abstractNumId="2" w15:restartNumberingAfterBreak="0">
    <w:nsid w:val="7BEF5EB1"/>
    <w:multiLevelType w:val="hybridMultilevel"/>
    <w:tmpl w:val="815AF96A"/>
    <w:lvl w:ilvl="0" w:tplc="7A9E7EE0">
      <w:start w:val="1"/>
      <w:numFmt w:val="lowerLetter"/>
      <w:lvlText w:val="%1)"/>
      <w:lvlJc w:val="left"/>
      <w:pPr>
        <w:ind w:left="840" w:hanging="360"/>
      </w:pPr>
    </w:lvl>
    <w:lvl w:ilvl="1" w:tplc="04050019">
      <w:start w:val="1"/>
      <w:numFmt w:val="lowerLetter"/>
      <w:lvlText w:val="%2."/>
      <w:lvlJc w:val="left"/>
      <w:pPr>
        <w:ind w:left="1560" w:hanging="360"/>
      </w:pPr>
    </w:lvl>
    <w:lvl w:ilvl="2" w:tplc="0405001B">
      <w:start w:val="1"/>
      <w:numFmt w:val="lowerRoman"/>
      <w:lvlText w:val="%3."/>
      <w:lvlJc w:val="right"/>
      <w:pPr>
        <w:ind w:left="2280" w:hanging="180"/>
      </w:pPr>
    </w:lvl>
    <w:lvl w:ilvl="3" w:tplc="0405000F">
      <w:start w:val="1"/>
      <w:numFmt w:val="decimal"/>
      <w:lvlText w:val="%4."/>
      <w:lvlJc w:val="left"/>
      <w:pPr>
        <w:ind w:left="3000" w:hanging="360"/>
      </w:pPr>
    </w:lvl>
    <w:lvl w:ilvl="4" w:tplc="04050019">
      <w:start w:val="1"/>
      <w:numFmt w:val="lowerLetter"/>
      <w:lvlText w:val="%5."/>
      <w:lvlJc w:val="left"/>
      <w:pPr>
        <w:ind w:left="3720" w:hanging="360"/>
      </w:pPr>
    </w:lvl>
    <w:lvl w:ilvl="5" w:tplc="0405001B">
      <w:start w:val="1"/>
      <w:numFmt w:val="lowerRoman"/>
      <w:lvlText w:val="%6."/>
      <w:lvlJc w:val="right"/>
      <w:pPr>
        <w:ind w:left="4440" w:hanging="180"/>
      </w:pPr>
    </w:lvl>
    <w:lvl w:ilvl="6" w:tplc="0405000F">
      <w:start w:val="1"/>
      <w:numFmt w:val="decimal"/>
      <w:lvlText w:val="%7."/>
      <w:lvlJc w:val="left"/>
      <w:pPr>
        <w:ind w:left="5160" w:hanging="360"/>
      </w:pPr>
    </w:lvl>
    <w:lvl w:ilvl="7" w:tplc="04050019">
      <w:start w:val="1"/>
      <w:numFmt w:val="lowerLetter"/>
      <w:lvlText w:val="%8."/>
      <w:lvlJc w:val="left"/>
      <w:pPr>
        <w:ind w:left="5880" w:hanging="360"/>
      </w:pPr>
    </w:lvl>
    <w:lvl w:ilvl="8" w:tplc="0405001B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3A"/>
    <w:rsid w:val="0002008E"/>
    <w:rsid w:val="0026054C"/>
    <w:rsid w:val="006E28B6"/>
    <w:rsid w:val="00AD67F4"/>
    <w:rsid w:val="00D90F3A"/>
    <w:rsid w:val="00E7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2355E"/>
  <w15:chartTrackingRefBased/>
  <w15:docId w15:val="{0C71DADE-5D07-4BCA-9992-32BE76E8B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90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D90F3A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D90F3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90F3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ootnote">
    <w:name w:val="Footnote"/>
    <w:basedOn w:val="Normln"/>
    <w:rsid w:val="00D90F3A"/>
    <w:pPr>
      <w:suppressLineNumbers/>
      <w:suppressAutoHyphens/>
      <w:autoSpaceDN w:val="0"/>
      <w:ind w:left="170" w:hanging="170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character" w:styleId="Znakapoznpodarou">
    <w:name w:val="footnote reference"/>
    <w:uiPriority w:val="99"/>
    <w:semiHidden/>
    <w:unhideWhenUsed/>
    <w:rsid w:val="00D90F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57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305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Drápelová Běhalová Vilma</dc:creator>
  <cp:keywords/>
  <dc:description/>
  <cp:lastModifiedBy>Drápelová Běhalová Vilma</cp:lastModifiedBy>
  <cp:revision>5</cp:revision>
  <dcterms:created xsi:type="dcterms:W3CDTF">2026-08-06T05:43:00Z</dcterms:created>
  <dcterms:modified xsi:type="dcterms:W3CDTF">2026-09-17T05:13:00Z</dcterms:modified>
</cp:coreProperties>
</file>