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rPr>
          <w:rFonts w:ascii="Arial" w:hAnsi="Arial"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Rusava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Rusava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místních koeficientů daně z 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Rusava se na svém zasedání dne 8. 4. 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ind w:left="3545" w:firstLine="709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obec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/>
        <w:rPr>
          <w:rFonts w:ascii="Arial" w:hAnsi="Arial" w:cs="Arial"/>
        </w:rPr>
      </w:pPr>
      <w:r>
        <w:rPr>
          <w:rFonts w:cs="Arial" w:ascii="Arial" w:hAnsi="Arial"/>
        </w:rPr>
        <w:t>Obec Rusava stanovuje místní koeficient pro obec ve výši 3. Tento místní koeficient se vztahuje na všechny nemovité věci na území celé obce Rusava s výjimkou pozemků zařazených do skupiny vybraných zemědělských pozemků, trvalých travních porostů nebo nevyužitelných ostatních ploch.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/>
        <w:ind w:left="0" w:firstLine="709"/>
        <w:rPr>
          <w:rFonts w:ascii="Arial" w:hAnsi="Arial" w:cs="Arial"/>
        </w:rPr>
      </w:pPr>
      <w:r>
        <w:rPr>
          <w:rFonts w:cs="Arial" w:ascii="Arial" w:hAnsi="Arial"/>
        </w:rPr>
        <w:t>Pokud se na nemovitou věc vztahuje vedle místního koeficientu pro obec také jiný místní koeficient, místní koeficient pro obec se na ni nepoužije.</w:t>
      </w:r>
      <w:r>
        <w:rPr>
          <w:rStyle w:val="Ukotvenpoznmkypodarou"/>
          <w:rFonts w:cs="Arial" w:ascii="Arial" w:hAnsi="Arial"/>
        </w:rPr>
        <w:footnoteReference w:id="3"/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jednotlivé skupiny nemovitých věcí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Obec Rusava 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76" w:before="0" w:after="120"/>
        <w:ind w:left="999" w:hanging="0"/>
        <w:contextualSpacing/>
        <w:rPr>
          <w:rFonts w:ascii="Arial" w:hAnsi="Arial" w:cs="Arial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76" w:before="0" w:after="120"/>
        <w:ind w:left="999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>rekreační budovy</w:t>
        <w:tab/>
        <w:tab/>
        <w:tab/>
        <w:tab/>
        <w:tab/>
        <w:tab/>
        <w:t xml:space="preserve">koeficient 4,5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76" w:before="0" w:after="120"/>
        <w:ind w:left="999" w:hanging="0"/>
        <w:contextualSpacing/>
        <w:rPr>
          <w:rFonts w:ascii="Arial" w:hAnsi="Arial" w:cs="Arial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/>
        <w:rPr>
          <w:rFonts w:ascii="Arial" w:hAnsi="Arial" w:cs="Arial"/>
        </w:rPr>
      </w:pPr>
      <w:r>
        <w:rPr>
          <w:rFonts w:cs="Arial" w:ascii="Arial" w:hAnsi="Arial"/>
        </w:rPr>
        <w:t>Místní koeficient pro jednotlivou skupinu nemovitých věcí se vztahuje na všechny nemovité věci dané skupiny nemovitých věcí na území celé obce Rusava.</w:t>
      </w:r>
      <w:r>
        <w:rPr>
          <w:rStyle w:val="Ukotvenpoznmkypodarou"/>
          <w:rFonts w:cs="Arial" w:ascii="Arial" w:hAnsi="Arial"/>
        </w:rPr>
        <w:footnoteReference w:id="4"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/>
        <w:rPr>
          <w:rFonts w:ascii="Arial" w:hAnsi="Arial" w:cs="Arial"/>
        </w:rPr>
      </w:pPr>
      <w:r>
        <w:rPr>
          <w:rFonts w:cs="Arial" w:ascii="Arial" w:hAnsi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Ukotvenpoznmkypodarou"/>
          <w:rFonts w:cs="Arial" w:ascii="Arial" w:hAnsi="Arial"/>
        </w:rPr>
        <w:footnoteReference w:id="5"/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Zrušuje se obecně závazná vyhláška obce Rusava č. 2/2008, o stanovení koeficientu a místního koeficientu pro výpočet daně z nemovitostí, ze dne 19. 6. 2008.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Bohumil Škarpich v.r.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/>
      </w:pPr>
      <w:r>
        <w:br w:type="column"/>
      </w:r>
      <w:r>
        <w:rPr>
          <w:rFonts w:cs="Arial" w:ascii="Arial" w:hAnsi="Arial"/>
        </w:rPr>
        <w:t xml:space="preserve">             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Miroslav Bílek v.r.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header="0" w:top="1417" w:footer="708" w:bottom="1417" w:gutter="0"/>
          <w:cols w:num="2" w:space="708" w:equalWidth="true" w:sep="false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120"/>
        <w:rPr>
          <w:rFonts w:ascii="Arial" w:hAnsi="Arial" w:cs="Arial"/>
          <w:i/>
          <w:i/>
          <w:color w:val="00B0F0"/>
          <w:sz w:val="20"/>
          <w:szCs w:val="20"/>
        </w:rPr>
      </w:pPr>
      <w:r>
        <w:rPr/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header="0" w:top="1417" w:footer="708" w:bottom="1417" w:gutter="0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13448157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1 a 6 zákona o dani z nemovitých věcí.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odst. 5 zákona o dani z nemovitých věcí.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odst. 7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0925"/>
    <w:pPr>
      <w:widowControl/>
      <w:suppressAutoHyphens w:val="true"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Internetový odkaz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Nadpisrejstku">
    <w:name w:val="Index Heading"/>
    <w:basedOn w:val="Nadpis"/>
    <w:pPr/>
    <w:rPr/>
  </w:style>
  <w:style w:type="paragraph" w:styleId="TOCHeading">
    <w:name w:val="TOC Heading"/>
    <w:basedOn w:val="Nadpis1"/>
    <w:next w:val="Normal"/>
    <w:uiPriority w:val="39"/>
    <w:unhideWhenUsed/>
    <w:qFormat/>
    <w:rsid w:val="005e1409"/>
    <w:pPr>
      <w:spacing w:lineRule="auto" w:line="25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2</Pages>
  <Words>349</Words>
  <Characters>1808</Characters>
  <CharactersWithSpaces>2144</CharactersWithSpaces>
  <Paragraphs>32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2024-03-18T11:16:00Z</dcterms:created>
  <dc:creator>Buřičová Lucie, Mgr.</dc:creator>
  <dc:description/>
  <dc:language>cs-CZ</dc:language>
  <cp:lastModifiedBy/>
  <cp:lastPrinted>2024-04-05T19:39:43Z</cp:lastPrinted>
  <dcterms:modified xsi:type="dcterms:W3CDTF">2024-04-24T07:57:07Z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vnitra ČR</vt:lpwstr>
  </property>
</Properties>
</file>