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D75" w:rsidRDefault="001F33B6">
      <w:pPr>
        <w:jc w:val="center"/>
        <w:rPr>
          <w:b/>
          <w:spacing w:val="20"/>
          <w:sz w:val="32"/>
        </w:rPr>
      </w:pPr>
      <w:bookmarkStart w:id="0" w:name="_GoBack"/>
      <w:bookmarkEnd w:id="0"/>
      <w:r>
        <w:rPr>
          <w:b/>
          <w:spacing w:val="20"/>
          <w:sz w:val="32"/>
        </w:rPr>
        <w:t xml:space="preserve">Vyhláška statutárního města Plzně </w:t>
      </w:r>
    </w:p>
    <w:p w:rsidR="00536D75" w:rsidRDefault="001F33B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č. 12/2007,</w:t>
      </w:r>
    </w:p>
    <w:p w:rsidR="00536D75" w:rsidRDefault="001F33B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kterou se mění vyhláška statutárního města Plzně č. 19/2006, o některých povinnostech chovatelů psů</w:t>
      </w:r>
    </w:p>
    <w:p w:rsidR="00536D75" w:rsidRDefault="001F33B6">
      <w:pPr>
        <w:jc w:val="center"/>
        <w:rPr>
          <w:b/>
          <w:spacing w:val="20"/>
        </w:rPr>
      </w:pPr>
      <w:r>
        <w:rPr>
          <w:b/>
          <w:spacing w:val="20"/>
        </w:rPr>
        <w:t> </w:t>
      </w:r>
    </w:p>
    <w:p w:rsidR="00536D75" w:rsidRDefault="001F33B6">
      <w:r>
        <w:t> </w:t>
      </w:r>
    </w:p>
    <w:p w:rsidR="00536D75" w:rsidRDefault="001F33B6">
      <w:r>
        <w:t> </w:t>
      </w:r>
    </w:p>
    <w:p w:rsidR="00536D75" w:rsidRDefault="001F33B6">
      <w:pPr>
        <w:spacing w:after="120"/>
        <w:ind w:firstLine="708"/>
        <w:jc w:val="both"/>
      </w:pPr>
      <w:r>
        <w:t xml:space="preserve">Zastupitelstvo města Plzně vydalo usnesením č. </w:t>
      </w:r>
      <w:proofErr w:type="gramStart"/>
      <w:r>
        <w:t>584  ze</w:t>
      </w:r>
      <w:proofErr w:type="gramEnd"/>
      <w:r>
        <w:t xml:space="preserve"> dne  15. listopadu 2007 podle  § 84 odst. 2 písm. h) zákona č. 128/2000 Sb., o obcích, ve znění pozdějších předpisů, a v souladu s § 13b odst. 2 a § 24 odst. 2 zákona č. 246/1992 Sb., na ochranu zvířat proti týrání, ve znění pozdějších předpisů, tuto</w:t>
      </w:r>
    </w:p>
    <w:p w:rsidR="00536D75" w:rsidRDefault="001F33B6">
      <w:pPr>
        <w:spacing w:after="120"/>
        <w:ind w:firstLine="708"/>
        <w:jc w:val="both"/>
      </w:pPr>
      <w:r>
        <w:t> </w:t>
      </w:r>
    </w:p>
    <w:p w:rsidR="00536D75" w:rsidRDefault="001F33B6">
      <w:pPr>
        <w:spacing w:after="120"/>
        <w:ind w:firstLine="708"/>
        <w:jc w:val="center"/>
        <w:rPr>
          <w:rStyle w:val="Siln"/>
          <w:spacing w:val="20"/>
          <w:sz w:val="32"/>
        </w:rPr>
      </w:pPr>
      <w:r>
        <w:rPr>
          <w:rStyle w:val="Siln"/>
          <w:spacing w:val="20"/>
          <w:sz w:val="32"/>
        </w:rPr>
        <w:t>obecně závaznou vyhlášku:</w:t>
      </w:r>
    </w:p>
    <w:p w:rsidR="00536D75" w:rsidRDefault="001F33B6">
      <w:pPr>
        <w:jc w:val="center"/>
      </w:pPr>
      <w:r>
        <w:t>   </w:t>
      </w:r>
    </w:p>
    <w:p w:rsidR="00536D75" w:rsidRDefault="001F33B6">
      <w:pPr>
        <w:jc w:val="center"/>
      </w:pPr>
      <w:r>
        <w:t> </w:t>
      </w:r>
    </w:p>
    <w:p w:rsidR="00536D75" w:rsidRDefault="001F33B6">
      <w:pPr>
        <w:pStyle w:val="Nadpis4"/>
        <w:spacing w:before="0" w:beforeAutospacing="0" w:after="0" w:afterAutospacing="0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Čl. I</w:t>
      </w:r>
    </w:p>
    <w:p w:rsidR="00536D75" w:rsidRDefault="001F33B6">
      <w:r>
        <w:t> </w:t>
      </w:r>
    </w:p>
    <w:p w:rsidR="00536D75" w:rsidRDefault="001F33B6">
      <w:pPr>
        <w:pStyle w:val="Zkladntext2"/>
        <w:spacing w:before="0" w:beforeAutospacing="0" w:after="120" w:afterAutospacing="0"/>
      </w:pPr>
      <w:r>
        <w:t>Vyhláška statutárního města Plzně č. 19/2006, o některých povinnostech chovatelů psů, se mění takto:</w:t>
      </w:r>
    </w:p>
    <w:p w:rsidR="00536D75" w:rsidRDefault="001F33B6">
      <w:pPr>
        <w:tabs>
          <w:tab w:val="num" w:pos="360"/>
        </w:tabs>
        <w:spacing w:after="120"/>
        <w:jc w:val="both"/>
        <w:rPr>
          <w:sz w:val="22"/>
        </w:rPr>
      </w:pPr>
      <w:r>
        <w:t xml:space="preserve">Ustanovení Čl. 4 odst. 2 se ruší a nahrazuje se tímto zněním: „Ustanovení čl. 3 této vyhlášky se </w:t>
      </w:r>
      <w:r>
        <w:rPr>
          <w:color w:val="000000"/>
        </w:rPr>
        <w:t>nevztahuje na</w:t>
      </w:r>
      <w:r>
        <w:t xml:space="preserve"> držitele psů chovaných ozbrojenými složkami České republiky.“.</w:t>
      </w:r>
      <w:r>
        <w:rPr>
          <w:rStyle w:val="Znakapoznpodarou"/>
        </w:rPr>
        <w:footnoteReference w:id="1"/>
      </w:r>
      <w:r>
        <w:rPr>
          <w:rStyle w:val="Znakapoznpodarou"/>
        </w:rPr>
        <w:t>[1]</w:t>
      </w:r>
      <w:r>
        <w:rPr>
          <w:sz w:val="22"/>
        </w:rPr>
        <w:t xml:space="preserve"> </w:t>
      </w:r>
    </w:p>
    <w:p w:rsidR="00536D75" w:rsidRDefault="001F33B6">
      <w:pPr>
        <w:jc w:val="center"/>
        <w:rPr>
          <w:sz w:val="16"/>
          <w:szCs w:val="14"/>
        </w:rPr>
      </w:pPr>
      <w:r>
        <w:rPr>
          <w:sz w:val="16"/>
          <w:szCs w:val="14"/>
        </w:rPr>
        <w:t> </w:t>
      </w:r>
    </w:p>
    <w:p w:rsidR="00536D75" w:rsidRDefault="001F33B6">
      <w:pPr>
        <w:jc w:val="center"/>
        <w:rPr>
          <w:sz w:val="16"/>
          <w:szCs w:val="14"/>
        </w:rPr>
      </w:pPr>
      <w:r>
        <w:rPr>
          <w:sz w:val="16"/>
          <w:szCs w:val="14"/>
        </w:rPr>
        <w:t> </w:t>
      </w:r>
    </w:p>
    <w:p w:rsidR="00536D75" w:rsidRDefault="001F33B6">
      <w:pPr>
        <w:tabs>
          <w:tab w:val="num" w:pos="360"/>
        </w:tabs>
        <w:spacing w:after="120"/>
        <w:ind w:left="360" w:hanging="360"/>
        <w:jc w:val="center"/>
        <w:rPr>
          <w:b/>
          <w:bCs/>
        </w:rPr>
      </w:pPr>
      <w:r>
        <w:rPr>
          <w:b/>
          <w:bCs/>
        </w:rPr>
        <w:t>Čl. II</w:t>
      </w:r>
    </w:p>
    <w:p w:rsidR="00536D75" w:rsidRDefault="001F33B6">
      <w:pPr>
        <w:tabs>
          <w:tab w:val="num" w:pos="360"/>
        </w:tabs>
        <w:spacing w:after="120"/>
        <w:ind w:left="360" w:hanging="360"/>
        <w:jc w:val="center"/>
      </w:pPr>
      <w:r>
        <w:rPr>
          <w:b/>
          <w:bCs/>
        </w:rPr>
        <w:t>Přechodná a závěrečná ustanovení</w:t>
      </w:r>
    </w:p>
    <w:p w:rsidR="00536D75" w:rsidRDefault="001F33B6">
      <w:pPr>
        <w:tabs>
          <w:tab w:val="num" w:pos="426"/>
          <w:tab w:val="num" w:pos="720"/>
        </w:tabs>
        <w:spacing w:after="120"/>
        <w:ind w:left="720" w:hanging="36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z w:val="14"/>
          <w:szCs w:val="14"/>
        </w:rPr>
        <w:t xml:space="preserve">      </w:t>
      </w:r>
      <w:r>
        <w:t xml:space="preserve">Držitelé psů, kteří neměli podle dosavadních právních předpisů povinnost trvale označit psa čipem a kteří mají tuto povinnost dle vyhlášky č. 19/2006 ve znění této vyhlášky, jsou povinni trvale označit psa čipem dle čl. 3 vyhlášky č. 19/2006 do 3 měsíců ode dne účinnosti této vyhlášky. </w:t>
      </w:r>
    </w:p>
    <w:p w:rsidR="00536D75" w:rsidRDefault="001F33B6">
      <w:pPr>
        <w:tabs>
          <w:tab w:val="num" w:pos="426"/>
          <w:tab w:val="num" w:pos="720"/>
        </w:tabs>
        <w:spacing w:after="120"/>
        <w:ind w:left="720" w:hanging="36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sz w:val="14"/>
          <w:szCs w:val="14"/>
        </w:rPr>
        <w:t xml:space="preserve">      </w:t>
      </w:r>
      <w:r>
        <w:t>Tato obecně závazná vyhláška nabývá účinnosti dne 1. ledna 2008.</w:t>
      </w:r>
    </w:p>
    <w:p w:rsidR="00536D75" w:rsidRDefault="001F33B6">
      <w:pPr>
        <w:spacing w:after="120"/>
        <w:jc w:val="both"/>
        <w:rPr>
          <w:color w:val="000000"/>
        </w:rPr>
      </w:pPr>
      <w:r>
        <w:rPr>
          <w:color w:val="000000"/>
        </w:rPr>
        <w:t> </w:t>
      </w:r>
    </w:p>
    <w:p w:rsidR="00536D75" w:rsidRDefault="001F33B6">
      <w:pPr>
        <w:pStyle w:val="Nadpis4"/>
        <w:tabs>
          <w:tab w:val="left" w:pos="5505"/>
        </w:tabs>
        <w:spacing w:before="0" w:beforeAutospacing="0" w:after="120" w:afterAutospac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 </w:t>
      </w:r>
    </w:p>
    <w:p w:rsidR="00536D75" w:rsidRDefault="001F33B6">
      <w:pPr>
        <w:spacing w:after="120"/>
        <w:jc w:val="both"/>
      </w:pPr>
      <w:r>
        <w:t> </w:t>
      </w:r>
    </w:p>
    <w:p w:rsidR="00536D75" w:rsidRDefault="001F33B6">
      <w:pPr>
        <w:spacing w:after="120"/>
        <w:jc w:val="both"/>
      </w:pPr>
      <w:r>
        <w:t> </w:t>
      </w:r>
    </w:p>
    <w:p w:rsidR="00536D75" w:rsidRDefault="001F33B6">
      <w:pPr>
        <w:spacing w:after="120"/>
        <w:jc w:val="both"/>
        <w:rPr>
          <w:color w:val="000000"/>
        </w:rPr>
      </w:pPr>
      <w:r>
        <w:t xml:space="preserve">            Ing. Pavel </w:t>
      </w:r>
      <w:proofErr w:type="spellStart"/>
      <w:r>
        <w:t>Rödl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          Ing. Petr Náhlík</w:t>
      </w:r>
    </w:p>
    <w:p w:rsidR="00536D75" w:rsidRDefault="001F33B6">
      <w:pPr>
        <w:spacing w:after="120"/>
        <w:jc w:val="both"/>
        <w:rPr>
          <w:color w:val="000000"/>
        </w:rPr>
      </w:pPr>
      <w:r>
        <w:rPr>
          <w:color w:val="000000"/>
        </w:rPr>
        <w:t xml:space="preserve">            primátor města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náměstek primátora   </w:t>
      </w:r>
    </w:p>
    <w:sectPr w:rsidR="00536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D75" w:rsidRDefault="001F33B6">
      <w:r>
        <w:separator/>
      </w:r>
    </w:p>
  </w:endnote>
  <w:endnote w:type="continuationSeparator" w:id="0">
    <w:p w:rsidR="00536D75" w:rsidRDefault="001F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D75" w:rsidRDefault="001F33B6">
      <w:r>
        <w:separator/>
      </w:r>
    </w:p>
  </w:footnote>
  <w:footnote w:type="continuationSeparator" w:id="0">
    <w:p w:rsidR="00536D75" w:rsidRDefault="001F33B6">
      <w:r>
        <w:continuationSeparator/>
      </w:r>
    </w:p>
  </w:footnote>
  <w:footnote w:id="1">
    <w:p w:rsidR="00536D75" w:rsidRDefault="001F33B6">
      <w:pPr>
        <w:pStyle w:val="Textpoznpodarou"/>
        <w:rPr>
          <w:sz w:val="20"/>
        </w:rPr>
      </w:pPr>
      <w:r>
        <w:rPr>
          <w:rStyle w:val="Znakapoznpodarou"/>
          <w:sz w:val="20"/>
        </w:rPr>
        <w:footnoteRef/>
      </w:r>
      <w:r>
        <w:rPr>
          <w:rStyle w:val="Znakapoznpodarou"/>
          <w:sz w:val="20"/>
        </w:rPr>
        <w:t>[1]</w:t>
      </w:r>
      <w:r>
        <w:rPr>
          <w:sz w:val="20"/>
        </w:rPr>
        <w:t xml:space="preserve"> Zejména zákon č. 283/1991 Sb., o Policii České republiky, zákon č. 219/1999 Sb., o ozbrojených silách České republiky.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B6"/>
    <w:rsid w:val="001F33B6"/>
    <w:rsid w:val="003537AC"/>
    <w:rsid w:val="00536D75"/>
    <w:rsid w:val="00E4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31C995-C948-4571-B821-4AB993D9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before="100" w:beforeAutospacing="1" w:after="100" w:afterAutospacing="1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eastAsiaTheme="minorEastAsia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32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 Dušan</dc:creator>
  <cp:keywords/>
  <dc:description/>
  <cp:lastModifiedBy>Jirková Michaela</cp:lastModifiedBy>
  <cp:revision>2</cp:revision>
  <dcterms:created xsi:type="dcterms:W3CDTF">2023-02-23T10:58:00Z</dcterms:created>
  <dcterms:modified xsi:type="dcterms:W3CDTF">2023-02-23T10:58:00Z</dcterms:modified>
</cp:coreProperties>
</file>