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F59B23" w14:textId="77777777" w:rsidR="00011937" w:rsidRPr="00D452DD" w:rsidRDefault="00011937">
      <w:pPr>
        <w:pStyle w:val="Nzev"/>
        <w:rPr>
          <w:rFonts w:ascii="Arial" w:hAnsi="Arial" w:cs="Arial"/>
          <w:bCs w:val="0"/>
          <w:sz w:val="28"/>
          <w:szCs w:val="28"/>
        </w:rPr>
      </w:pPr>
      <w:r w:rsidRPr="00D452DD">
        <w:rPr>
          <w:rFonts w:ascii="Arial" w:hAnsi="Arial" w:cs="Arial"/>
          <w:bCs w:val="0"/>
          <w:sz w:val="28"/>
          <w:szCs w:val="28"/>
        </w:rPr>
        <w:t>MĚSTO STOCHOV</w:t>
      </w:r>
    </w:p>
    <w:p w14:paraId="174D356E" w14:textId="77777777" w:rsidR="00011937" w:rsidRPr="00D452DD" w:rsidRDefault="00011937">
      <w:pPr>
        <w:pStyle w:val="Nzev"/>
        <w:rPr>
          <w:rFonts w:ascii="Arial" w:hAnsi="Arial" w:cs="Arial"/>
          <w:bCs w:val="0"/>
          <w:sz w:val="24"/>
        </w:rPr>
      </w:pPr>
      <w:r w:rsidRPr="00D452DD">
        <w:rPr>
          <w:rFonts w:ascii="Arial" w:hAnsi="Arial" w:cs="Arial"/>
          <w:bCs w:val="0"/>
          <w:sz w:val="24"/>
        </w:rPr>
        <w:t>Zastupitelstvo města Stochov</w:t>
      </w:r>
    </w:p>
    <w:p w14:paraId="08077AC8" w14:textId="77777777" w:rsidR="00541C09" w:rsidRPr="00D452DD" w:rsidRDefault="00541C09">
      <w:pPr>
        <w:pStyle w:val="Nzev"/>
        <w:rPr>
          <w:rFonts w:ascii="Arial" w:hAnsi="Arial" w:cs="Arial"/>
          <w:bCs w:val="0"/>
          <w:sz w:val="24"/>
        </w:rPr>
      </w:pPr>
      <w:r w:rsidRPr="00D452DD">
        <w:rPr>
          <w:rFonts w:ascii="Arial" w:hAnsi="Arial" w:cs="Arial"/>
          <w:bCs w:val="0"/>
          <w:sz w:val="24"/>
        </w:rPr>
        <w:t>OBECNĚ ZÁVAZNÁ VYHLÁŠKA</w:t>
      </w:r>
    </w:p>
    <w:p w14:paraId="21FDF884" w14:textId="77777777" w:rsidR="00541C09" w:rsidRPr="00D452DD" w:rsidRDefault="00541C09">
      <w:pPr>
        <w:pStyle w:val="Nzev"/>
        <w:rPr>
          <w:rFonts w:ascii="Arial" w:hAnsi="Arial" w:cs="Arial"/>
          <w:bCs w:val="0"/>
          <w:sz w:val="24"/>
        </w:rPr>
      </w:pPr>
      <w:r w:rsidRPr="00D452DD">
        <w:rPr>
          <w:rFonts w:ascii="Arial" w:hAnsi="Arial" w:cs="Arial"/>
          <w:bCs w:val="0"/>
          <w:sz w:val="24"/>
        </w:rPr>
        <w:t xml:space="preserve">č. </w:t>
      </w:r>
      <w:r w:rsidR="00011937" w:rsidRPr="00D452DD">
        <w:rPr>
          <w:rFonts w:ascii="Arial" w:hAnsi="Arial" w:cs="Arial"/>
          <w:bCs w:val="0"/>
          <w:sz w:val="24"/>
        </w:rPr>
        <w:t>3</w:t>
      </w:r>
      <w:r w:rsidRPr="00D452DD">
        <w:rPr>
          <w:rFonts w:ascii="Arial" w:hAnsi="Arial" w:cs="Arial"/>
          <w:bCs w:val="0"/>
          <w:sz w:val="24"/>
        </w:rPr>
        <w:t>/20</w:t>
      </w:r>
      <w:r w:rsidR="00011937" w:rsidRPr="00D452DD">
        <w:rPr>
          <w:rFonts w:ascii="Arial" w:hAnsi="Arial" w:cs="Arial"/>
          <w:bCs w:val="0"/>
          <w:sz w:val="24"/>
        </w:rPr>
        <w:t>18</w:t>
      </w:r>
    </w:p>
    <w:p w14:paraId="273399BA" w14:textId="77777777" w:rsidR="00541C09" w:rsidRPr="00D452DD" w:rsidRDefault="00541C09">
      <w:pPr>
        <w:jc w:val="center"/>
        <w:rPr>
          <w:rFonts w:ascii="Arial" w:hAnsi="Arial" w:cs="Arial"/>
          <w:b/>
        </w:rPr>
      </w:pPr>
      <w:r w:rsidRPr="00D452DD">
        <w:rPr>
          <w:rFonts w:ascii="Arial" w:hAnsi="Arial" w:cs="Arial"/>
          <w:b/>
        </w:rPr>
        <w:t>kterou se stanoví podmínky k zabezpečení požární ochrany při akcích s</w:t>
      </w:r>
      <w:r w:rsidR="00011937" w:rsidRPr="00D452DD">
        <w:rPr>
          <w:rFonts w:ascii="Arial" w:hAnsi="Arial" w:cs="Arial"/>
          <w:b/>
        </w:rPr>
        <w:t xml:space="preserve"> účastí </w:t>
      </w:r>
      <w:r w:rsidRPr="00D452DD">
        <w:rPr>
          <w:rFonts w:ascii="Arial" w:hAnsi="Arial" w:cs="Arial"/>
          <w:b/>
        </w:rPr>
        <w:t>větš</w:t>
      </w:r>
      <w:r w:rsidR="00011937" w:rsidRPr="00D452DD">
        <w:rPr>
          <w:rFonts w:ascii="Arial" w:hAnsi="Arial" w:cs="Arial"/>
          <w:b/>
        </w:rPr>
        <w:t>ího</w:t>
      </w:r>
      <w:r w:rsidRPr="00D452DD">
        <w:rPr>
          <w:rFonts w:ascii="Arial" w:hAnsi="Arial" w:cs="Arial"/>
          <w:b/>
        </w:rPr>
        <w:t xml:space="preserve"> počt</w:t>
      </w:r>
      <w:r w:rsidR="00011937" w:rsidRPr="00D452DD">
        <w:rPr>
          <w:rFonts w:ascii="Arial" w:hAnsi="Arial" w:cs="Arial"/>
          <w:b/>
        </w:rPr>
        <w:t>u</w:t>
      </w:r>
      <w:r w:rsidRPr="00D452DD">
        <w:rPr>
          <w:rFonts w:ascii="Arial" w:hAnsi="Arial" w:cs="Arial"/>
          <w:b/>
        </w:rPr>
        <w:t xml:space="preserve"> osob</w:t>
      </w:r>
    </w:p>
    <w:p w14:paraId="019D29C6" w14:textId="77777777" w:rsidR="00541C09" w:rsidRPr="00D452DD" w:rsidRDefault="00541C09">
      <w:pPr>
        <w:jc w:val="both"/>
        <w:rPr>
          <w:rFonts w:ascii="Arial" w:hAnsi="Arial" w:cs="Arial"/>
        </w:rPr>
      </w:pPr>
    </w:p>
    <w:p w14:paraId="05584310" w14:textId="77777777" w:rsidR="00541C09" w:rsidRPr="00D452DD" w:rsidRDefault="00541C09">
      <w:pPr>
        <w:jc w:val="both"/>
        <w:rPr>
          <w:rFonts w:ascii="Arial" w:hAnsi="Arial" w:cs="Arial"/>
        </w:rPr>
      </w:pPr>
      <w:r w:rsidRPr="00D452DD">
        <w:rPr>
          <w:rFonts w:ascii="Arial" w:hAnsi="Arial" w:cs="Arial"/>
        </w:rPr>
        <w:t>Zastupitelstvo města Stochov se</w:t>
      </w:r>
      <w:r w:rsidR="00346056">
        <w:rPr>
          <w:rFonts w:ascii="Arial" w:hAnsi="Arial" w:cs="Arial"/>
        </w:rPr>
        <w:t xml:space="preserve"> </w:t>
      </w:r>
      <w:r w:rsidR="00011937" w:rsidRPr="00D452DD">
        <w:rPr>
          <w:rFonts w:ascii="Arial" w:hAnsi="Arial" w:cs="Arial"/>
        </w:rPr>
        <w:t xml:space="preserve">na svém zasedání konaném dne </w:t>
      </w:r>
      <w:r w:rsidR="008665FA">
        <w:rPr>
          <w:rFonts w:ascii="Arial" w:hAnsi="Arial" w:cs="Arial"/>
        </w:rPr>
        <w:t>17.12.2018</w:t>
      </w:r>
      <w:r w:rsidRPr="00D452DD">
        <w:rPr>
          <w:rFonts w:ascii="Arial" w:hAnsi="Arial" w:cs="Arial"/>
        </w:rPr>
        <w:t xml:space="preserve"> usneslo vydat podle ustanovení § 29 odst. 1 písm. o) bod 2, zákona č. 133/1985 Sb., o požární ochraně, ve znění pozdějších předpisů</w:t>
      </w:r>
      <w:r w:rsidR="00011937" w:rsidRPr="00D452DD">
        <w:rPr>
          <w:rFonts w:ascii="Arial" w:hAnsi="Arial" w:cs="Arial"/>
        </w:rPr>
        <w:t xml:space="preserve"> (dále jen zákon o požární ochraně)</w:t>
      </w:r>
      <w:r w:rsidRPr="00D452DD">
        <w:rPr>
          <w:rFonts w:ascii="Arial" w:hAnsi="Arial" w:cs="Arial"/>
        </w:rPr>
        <w:t xml:space="preserve">, a v souladu s ustanovením § 10 písm. d) a § 84 odst. 2 písm. </w:t>
      </w:r>
      <w:r w:rsidR="00011937" w:rsidRPr="00D452DD">
        <w:rPr>
          <w:rFonts w:ascii="Arial" w:hAnsi="Arial" w:cs="Arial"/>
        </w:rPr>
        <w:t>h</w:t>
      </w:r>
      <w:r w:rsidRPr="00D452DD">
        <w:rPr>
          <w:rFonts w:ascii="Arial" w:hAnsi="Arial" w:cs="Arial"/>
        </w:rPr>
        <w:t>) zákona č. 128/2000 Sb., o obcích, ve znění pozdějších předpisů, tuto obecně závaznou vyhlášku</w:t>
      </w:r>
      <w:r w:rsidR="00011937" w:rsidRPr="00D452DD">
        <w:rPr>
          <w:rFonts w:ascii="Arial" w:hAnsi="Arial" w:cs="Arial"/>
        </w:rPr>
        <w:t xml:space="preserve"> (dále jen „vyhláška“).</w:t>
      </w:r>
    </w:p>
    <w:p w14:paraId="26115DC9" w14:textId="77777777" w:rsidR="00541C09" w:rsidRDefault="00541C09">
      <w:pPr>
        <w:rPr>
          <w:rFonts w:ascii="Arial" w:hAnsi="Arial" w:cs="Arial"/>
        </w:rPr>
      </w:pPr>
    </w:p>
    <w:p w14:paraId="0347A400" w14:textId="77777777" w:rsidR="00D452DD" w:rsidRDefault="00D452DD">
      <w:pPr>
        <w:rPr>
          <w:rFonts w:ascii="Arial" w:hAnsi="Arial" w:cs="Arial"/>
        </w:rPr>
      </w:pPr>
    </w:p>
    <w:p w14:paraId="6E6B3C1F" w14:textId="77777777" w:rsidR="00D452DD" w:rsidRPr="00D452DD" w:rsidRDefault="00D452DD">
      <w:pPr>
        <w:rPr>
          <w:rFonts w:ascii="Arial" w:hAnsi="Arial" w:cs="Arial"/>
        </w:rPr>
      </w:pPr>
    </w:p>
    <w:p w14:paraId="22EE6897" w14:textId="77777777" w:rsidR="00541C09" w:rsidRPr="00D452DD" w:rsidRDefault="00541C09">
      <w:pPr>
        <w:jc w:val="center"/>
        <w:rPr>
          <w:rFonts w:ascii="Arial" w:hAnsi="Arial" w:cs="Arial"/>
        </w:rPr>
      </w:pPr>
      <w:r w:rsidRPr="00D452DD">
        <w:rPr>
          <w:rFonts w:ascii="Arial" w:hAnsi="Arial" w:cs="Arial"/>
        </w:rPr>
        <w:t>Čl</w:t>
      </w:r>
      <w:r w:rsidR="00D452DD">
        <w:rPr>
          <w:rFonts w:ascii="Arial" w:hAnsi="Arial" w:cs="Arial"/>
        </w:rPr>
        <w:t xml:space="preserve">. </w:t>
      </w:r>
      <w:r w:rsidRPr="00D452DD">
        <w:rPr>
          <w:rFonts w:ascii="Arial" w:hAnsi="Arial" w:cs="Arial"/>
        </w:rPr>
        <w:t>1</w:t>
      </w:r>
    </w:p>
    <w:p w14:paraId="2F2F2A45" w14:textId="77777777" w:rsidR="00541C09" w:rsidRPr="00D452DD" w:rsidRDefault="00011937">
      <w:pPr>
        <w:jc w:val="center"/>
        <w:rPr>
          <w:rFonts w:ascii="Arial" w:hAnsi="Arial" w:cs="Arial"/>
          <w:b/>
        </w:rPr>
      </w:pPr>
      <w:r w:rsidRPr="00D452DD">
        <w:rPr>
          <w:rFonts w:ascii="Arial" w:hAnsi="Arial" w:cs="Arial"/>
          <w:b/>
        </w:rPr>
        <w:t>Účel vyhlášky</w:t>
      </w:r>
    </w:p>
    <w:p w14:paraId="3F75627F" w14:textId="77777777" w:rsidR="00541C09" w:rsidRPr="00D452DD" w:rsidRDefault="00541C09">
      <w:pPr>
        <w:jc w:val="center"/>
        <w:rPr>
          <w:rFonts w:ascii="Arial" w:hAnsi="Arial" w:cs="Arial"/>
        </w:rPr>
      </w:pPr>
    </w:p>
    <w:p w14:paraId="15507C47" w14:textId="77777777" w:rsidR="00541C09" w:rsidRPr="00D452DD" w:rsidRDefault="00541C09" w:rsidP="007A5C72">
      <w:pPr>
        <w:pStyle w:val="Zkladntext"/>
        <w:numPr>
          <w:ilvl w:val="0"/>
          <w:numId w:val="3"/>
        </w:numPr>
        <w:ind w:left="426"/>
        <w:rPr>
          <w:rFonts w:ascii="Arial" w:hAnsi="Arial" w:cs="Arial"/>
          <w:szCs w:val="24"/>
        </w:rPr>
      </w:pPr>
      <w:r w:rsidRPr="00D452DD">
        <w:rPr>
          <w:rFonts w:ascii="Arial" w:hAnsi="Arial" w:cs="Arial"/>
          <w:szCs w:val="24"/>
        </w:rPr>
        <w:t>Tato vyhláška stanoví podmínky k zabezpečení požární ochrany a ochrany životů a zdraví a ochrany majetku při akcích konaných na území města Stochov (katastrální území Čelechovice, Honice a Stochov), kterých se zúčastní větší počet osob (dále jen „akce“).</w:t>
      </w:r>
    </w:p>
    <w:p w14:paraId="4BBC76F9" w14:textId="77777777" w:rsidR="00541C09" w:rsidRPr="00D452DD" w:rsidRDefault="007A5C72" w:rsidP="007A5C72">
      <w:pPr>
        <w:pStyle w:val="Zkladntext"/>
        <w:numPr>
          <w:ilvl w:val="0"/>
          <w:numId w:val="3"/>
        </w:numPr>
        <w:ind w:left="426"/>
        <w:rPr>
          <w:rFonts w:ascii="Arial" w:hAnsi="Arial" w:cs="Arial"/>
          <w:szCs w:val="24"/>
        </w:rPr>
      </w:pPr>
      <w:r w:rsidRPr="00D452DD">
        <w:rPr>
          <w:rFonts w:ascii="Arial" w:hAnsi="Arial" w:cs="Arial"/>
          <w:szCs w:val="24"/>
        </w:rPr>
        <w:t>Za plnění podmínek k zabezpečení požární ochrany při akcích odpovídá právnická osoba, podnikající fyzická osoba, fyzická osoba nebo skupina osob, k</w:t>
      </w:r>
      <w:r w:rsidR="00CE4E20">
        <w:rPr>
          <w:rFonts w:ascii="Arial" w:hAnsi="Arial" w:cs="Arial"/>
          <w:szCs w:val="24"/>
        </w:rPr>
        <w:t>t</w:t>
      </w:r>
      <w:r w:rsidRPr="00D452DD">
        <w:rPr>
          <w:rFonts w:ascii="Arial" w:hAnsi="Arial" w:cs="Arial"/>
          <w:szCs w:val="24"/>
        </w:rPr>
        <w:t>eré pořádají akci na území města (dále jen „organizátor akce“).</w:t>
      </w:r>
    </w:p>
    <w:p w14:paraId="182D1DBA" w14:textId="77777777" w:rsidR="00541C09" w:rsidRPr="00D452DD" w:rsidRDefault="00541C09">
      <w:pPr>
        <w:pStyle w:val="Zkladntext"/>
        <w:rPr>
          <w:rFonts w:ascii="Arial" w:hAnsi="Arial" w:cs="Arial"/>
          <w:szCs w:val="24"/>
        </w:rPr>
      </w:pPr>
    </w:p>
    <w:p w14:paraId="15DA384C" w14:textId="77777777" w:rsidR="00D452DD" w:rsidRDefault="00D452DD">
      <w:pPr>
        <w:jc w:val="center"/>
        <w:rPr>
          <w:rFonts w:ascii="Arial" w:hAnsi="Arial" w:cs="Arial"/>
        </w:rPr>
      </w:pPr>
    </w:p>
    <w:p w14:paraId="6FAE7946" w14:textId="77777777" w:rsidR="00D452DD" w:rsidRDefault="00D452DD">
      <w:pPr>
        <w:jc w:val="center"/>
        <w:rPr>
          <w:rFonts w:ascii="Arial" w:hAnsi="Arial" w:cs="Arial"/>
        </w:rPr>
      </w:pPr>
    </w:p>
    <w:p w14:paraId="136F5F14" w14:textId="77777777" w:rsidR="00D452DD" w:rsidRDefault="00D452DD">
      <w:pPr>
        <w:jc w:val="center"/>
        <w:rPr>
          <w:rFonts w:ascii="Arial" w:hAnsi="Arial" w:cs="Arial"/>
        </w:rPr>
      </w:pPr>
    </w:p>
    <w:p w14:paraId="329F446E" w14:textId="77777777" w:rsidR="007A5C72" w:rsidRPr="00D452DD" w:rsidRDefault="007A5C72">
      <w:pPr>
        <w:jc w:val="center"/>
        <w:rPr>
          <w:rFonts w:ascii="Arial" w:hAnsi="Arial" w:cs="Arial"/>
        </w:rPr>
      </w:pPr>
      <w:r w:rsidRPr="00D452DD">
        <w:rPr>
          <w:rFonts w:ascii="Arial" w:hAnsi="Arial" w:cs="Arial"/>
        </w:rPr>
        <w:t>Čl</w:t>
      </w:r>
      <w:r w:rsidR="00D452DD">
        <w:rPr>
          <w:rFonts w:ascii="Arial" w:hAnsi="Arial" w:cs="Arial"/>
        </w:rPr>
        <w:t xml:space="preserve">. </w:t>
      </w:r>
      <w:r w:rsidRPr="00D452DD">
        <w:rPr>
          <w:rFonts w:ascii="Arial" w:hAnsi="Arial" w:cs="Arial"/>
        </w:rPr>
        <w:t xml:space="preserve"> 2</w:t>
      </w:r>
    </w:p>
    <w:p w14:paraId="2310F259" w14:textId="77777777" w:rsidR="007A5C72" w:rsidRPr="00D452DD" w:rsidRDefault="007A5C72">
      <w:pPr>
        <w:jc w:val="center"/>
        <w:rPr>
          <w:rFonts w:ascii="Arial" w:hAnsi="Arial" w:cs="Arial"/>
          <w:b/>
        </w:rPr>
      </w:pPr>
      <w:r w:rsidRPr="00D452DD">
        <w:rPr>
          <w:rFonts w:ascii="Arial" w:hAnsi="Arial" w:cs="Arial"/>
          <w:b/>
        </w:rPr>
        <w:t>Členění akcí dle místa konání a počtu osob</w:t>
      </w:r>
    </w:p>
    <w:p w14:paraId="5C2E179F" w14:textId="77777777" w:rsidR="007A5C72" w:rsidRPr="00D452DD" w:rsidRDefault="007A5C72">
      <w:pPr>
        <w:jc w:val="center"/>
        <w:rPr>
          <w:rFonts w:ascii="Arial" w:hAnsi="Arial" w:cs="Arial"/>
        </w:rPr>
      </w:pPr>
    </w:p>
    <w:p w14:paraId="6F4D200D" w14:textId="77777777" w:rsidR="007A5C72" w:rsidRPr="00D452DD" w:rsidRDefault="007A5C72" w:rsidP="007A5C72">
      <w:pPr>
        <w:pStyle w:val="Zkladntext"/>
        <w:numPr>
          <w:ilvl w:val="0"/>
          <w:numId w:val="5"/>
        </w:numPr>
        <w:ind w:left="426"/>
        <w:rPr>
          <w:rFonts w:ascii="Arial" w:hAnsi="Arial" w:cs="Arial"/>
          <w:szCs w:val="24"/>
        </w:rPr>
      </w:pPr>
      <w:r w:rsidRPr="00D452DD">
        <w:rPr>
          <w:rFonts w:ascii="Arial" w:hAnsi="Arial" w:cs="Arial"/>
          <w:szCs w:val="24"/>
        </w:rPr>
        <w:t>Akce ve vnitřním shromažďovacím prostoru</w:t>
      </w:r>
    </w:p>
    <w:p w14:paraId="7CD38523" w14:textId="77777777" w:rsidR="007A5C72" w:rsidRPr="00D452DD" w:rsidRDefault="007A5C72" w:rsidP="007A5C72">
      <w:pPr>
        <w:jc w:val="center"/>
        <w:rPr>
          <w:rFonts w:ascii="Arial" w:hAnsi="Arial" w:cs="Arial"/>
        </w:rPr>
      </w:pPr>
    </w:p>
    <w:p w14:paraId="59A777A4" w14:textId="77777777" w:rsidR="007A5C72" w:rsidRPr="00D452DD" w:rsidRDefault="007A5C72" w:rsidP="007A5C72">
      <w:pPr>
        <w:jc w:val="both"/>
        <w:rPr>
          <w:rFonts w:ascii="Arial" w:hAnsi="Arial" w:cs="Arial"/>
        </w:rPr>
      </w:pPr>
      <w:r w:rsidRPr="00D452DD">
        <w:rPr>
          <w:rFonts w:ascii="Arial" w:hAnsi="Arial" w:cs="Arial"/>
        </w:rPr>
        <w:t>a) u něhož z dokumentace ověřené stavebním úřadem (dle zákona č. 183/2006 Sb., o územním plánování a stavebním řádu, ve znění pozdějších předpisů) vyplývá počet osob, pro které je prostor určen a tento počet osob je stanoven v dokumentaci 200 a více osob.</w:t>
      </w:r>
    </w:p>
    <w:p w14:paraId="08A5A606" w14:textId="77777777" w:rsidR="007A5C72" w:rsidRPr="00D452DD" w:rsidRDefault="007A5C72" w:rsidP="007A5C72">
      <w:pPr>
        <w:jc w:val="both"/>
        <w:rPr>
          <w:rFonts w:ascii="Arial" w:hAnsi="Arial" w:cs="Arial"/>
        </w:rPr>
      </w:pPr>
    </w:p>
    <w:p w14:paraId="55DEE6AE" w14:textId="77777777" w:rsidR="007A5C72" w:rsidRPr="00D452DD" w:rsidRDefault="007A5C72" w:rsidP="007A5C72">
      <w:pPr>
        <w:jc w:val="both"/>
        <w:rPr>
          <w:rFonts w:ascii="Arial" w:hAnsi="Arial" w:cs="Arial"/>
        </w:rPr>
      </w:pPr>
      <w:r w:rsidRPr="00D452DD">
        <w:rPr>
          <w:rFonts w:ascii="Arial" w:hAnsi="Arial" w:cs="Arial"/>
        </w:rPr>
        <w:t>b) u něhož nebyl v dokumentaci ověřené stavebním úřadem stanoven počet osob, které se mohou v tomto prostoru současně vyskytovat, pak tento počet stanoví vlastník objektu (dále se uplatňuje postup dle § 2 odst. 2 zákona o PO) a pokud je tento počet 200 a více osob</w:t>
      </w:r>
    </w:p>
    <w:p w14:paraId="63448B62" w14:textId="77777777" w:rsidR="007A5C72" w:rsidRPr="00D452DD" w:rsidRDefault="007A5C72" w:rsidP="007A5C72">
      <w:pPr>
        <w:jc w:val="center"/>
        <w:rPr>
          <w:rFonts w:ascii="Arial" w:hAnsi="Arial" w:cs="Arial"/>
        </w:rPr>
      </w:pPr>
    </w:p>
    <w:p w14:paraId="57A41733" w14:textId="77777777" w:rsidR="007A5C72" w:rsidRPr="00D452DD" w:rsidRDefault="007A5C72" w:rsidP="007A5C72">
      <w:pPr>
        <w:pStyle w:val="Zkladntext"/>
        <w:numPr>
          <w:ilvl w:val="0"/>
          <w:numId w:val="5"/>
        </w:numPr>
        <w:ind w:left="426"/>
        <w:rPr>
          <w:rFonts w:ascii="Arial" w:hAnsi="Arial" w:cs="Arial"/>
          <w:szCs w:val="24"/>
        </w:rPr>
      </w:pPr>
      <w:r w:rsidRPr="00D452DD">
        <w:rPr>
          <w:rFonts w:ascii="Arial" w:hAnsi="Arial" w:cs="Arial"/>
          <w:szCs w:val="24"/>
        </w:rPr>
        <w:t xml:space="preserve">Akce ve venkovním shromažďovacím </w:t>
      </w:r>
      <w:proofErr w:type="gramStart"/>
      <w:r w:rsidRPr="00D452DD">
        <w:rPr>
          <w:rFonts w:ascii="Arial" w:hAnsi="Arial" w:cs="Arial"/>
          <w:szCs w:val="24"/>
        </w:rPr>
        <w:t>prostoru - akce</w:t>
      </w:r>
      <w:proofErr w:type="gramEnd"/>
      <w:r w:rsidRPr="00D452DD">
        <w:rPr>
          <w:rFonts w:ascii="Arial" w:hAnsi="Arial" w:cs="Arial"/>
          <w:szCs w:val="24"/>
        </w:rPr>
        <w:t xml:space="preserve"> ve venkovním shromažďovacím prostoru, na veřejných a neveřejných prostranstvích, kterých se účastní 500 a více osob. Venkovním shromažďovacím prostorem je prostor, neuzavřený po obvodě nebo shora, avšak vytvořený nebo vymezený stavebními konstrukcemi (tribunou, pódiem, kontejnery, ohradní stěnou, oplocením, </w:t>
      </w:r>
      <w:r w:rsidRPr="00D452DD">
        <w:rPr>
          <w:rFonts w:ascii="Arial" w:hAnsi="Arial" w:cs="Arial"/>
          <w:szCs w:val="24"/>
        </w:rPr>
        <w:lastRenderedPageBreak/>
        <w:t>přenosnými zábranami apod.) popř. okolním terénem nebo přírodním prostředím (např. svah, skála, vodní plocha).</w:t>
      </w:r>
    </w:p>
    <w:p w14:paraId="4D1AEF3F" w14:textId="77777777" w:rsidR="007A5C72" w:rsidRPr="00D452DD" w:rsidRDefault="007A5C72" w:rsidP="007A5C72">
      <w:pPr>
        <w:jc w:val="center"/>
        <w:rPr>
          <w:rFonts w:ascii="Arial" w:hAnsi="Arial" w:cs="Arial"/>
        </w:rPr>
      </w:pPr>
    </w:p>
    <w:p w14:paraId="1D59170F" w14:textId="77777777" w:rsidR="00D452DD" w:rsidRDefault="00D452DD">
      <w:pPr>
        <w:jc w:val="center"/>
        <w:rPr>
          <w:rFonts w:ascii="Arial" w:hAnsi="Arial" w:cs="Arial"/>
        </w:rPr>
      </w:pPr>
    </w:p>
    <w:p w14:paraId="7DD665C0" w14:textId="77777777" w:rsidR="00D452DD" w:rsidRDefault="00D452DD">
      <w:pPr>
        <w:jc w:val="center"/>
        <w:rPr>
          <w:rFonts w:ascii="Arial" w:hAnsi="Arial" w:cs="Arial"/>
        </w:rPr>
      </w:pPr>
    </w:p>
    <w:p w14:paraId="250A65A5" w14:textId="77777777" w:rsidR="007A5C72" w:rsidRPr="00D452DD" w:rsidRDefault="007A5C72">
      <w:pPr>
        <w:jc w:val="center"/>
        <w:rPr>
          <w:rFonts w:ascii="Arial" w:hAnsi="Arial" w:cs="Arial"/>
        </w:rPr>
      </w:pPr>
      <w:r w:rsidRPr="00D452DD">
        <w:rPr>
          <w:rFonts w:ascii="Arial" w:hAnsi="Arial" w:cs="Arial"/>
        </w:rPr>
        <w:t>Čl</w:t>
      </w:r>
      <w:r w:rsidR="00D452DD">
        <w:rPr>
          <w:rFonts w:ascii="Arial" w:hAnsi="Arial" w:cs="Arial"/>
        </w:rPr>
        <w:t xml:space="preserve">. </w:t>
      </w:r>
      <w:r w:rsidRPr="00D452DD">
        <w:rPr>
          <w:rFonts w:ascii="Arial" w:hAnsi="Arial" w:cs="Arial"/>
        </w:rPr>
        <w:t xml:space="preserve"> 3</w:t>
      </w:r>
    </w:p>
    <w:p w14:paraId="1AEA3E30" w14:textId="77777777" w:rsidR="007A5C72" w:rsidRPr="00D452DD" w:rsidRDefault="007A5C72" w:rsidP="007A5C72">
      <w:pPr>
        <w:jc w:val="center"/>
        <w:rPr>
          <w:rFonts w:ascii="Arial" w:hAnsi="Arial" w:cs="Arial"/>
          <w:b/>
        </w:rPr>
      </w:pPr>
      <w:r w:rsidRPr="00D452DD">
        <w:rPr>
          <w:rFonts w:ascii="Arial" w:hAnsi="Arial" w:cs="Arial"/>
          <w:b/>
        </w:rPr>
        <w:t>Stanovení podmínek požární bezpečnosti pro pořádání akce</w:t>
      </w:r>
    </w:p>
    <w:p w14:paraId="276089B6" w14:textId="77777777" w:rsidR="007A5C72" w:rsidRPr="00D452DD" w:rsidRDefault="007A5C72" w:rsidP="007A5C72">
      <w:pPr>
        <w:jc w:val="center"/>
        <w:rPr>
          <w:rFonts w:ascii="Arial" w:hAnsi="Arial" w:cs="Arial"/>
        </w:rPr>
      </w:pPr>
    </w:p>
    <w:p w14:paraId="3D8FCF87" w14:textId="77777777" w:rsidR="007A5C72" w:rsidRPr="00D452DD" w:rsidRDefault="007A5C72" w:rsidP="00182101">
      <w:pPr>
        <w:pStyle w:val="Zkladntext"/>
        <w:numPr>
          <w:ilvl w:val="0"/>
          <w:numId w:val="6"/>
        </w:numPr>
        <w:ind w:left="426"/>
        <w:rPr>
          <w:rFonts w:ascii="Arial" w:hAnsi="Arial" w:cs="Arial"/>
          <w:szCs w:val="24"/>
        </w:rPr>
      </w:pPr>
      <w:r w:rsidRPr="00D452DD">
        <w:rPr>
          <w:rFonts w:ascii="Arial" w:hAnsi="Arial" w:cs="Arial"/>
          <w:szCs w:val="24"/>
        </w:rPr>
        <w:t xml:space="preserve">Organizátor akce, který pořádá některou z akcí uvedenou v čl. 2 této </w:t>
      </w:r>
      <w:r w:rsidR="00B36D78" w:rsidRPr="00D452DD">
        <w:rPr>
          <w:rFonts w:ascii="Arial" w:hAnsi="Arial" w:cs="Arial"/>
          <w:szCs w:val="24"/>
        </w:rPr>
        <w:t>vyhlášky</w:t>
      </w:r>
      <w:r w:rsidRPr="00D452DD">
        <w:rPr>
          <w:rFonts w:ascii="Arial" w:hAnsi="Arial" w:cs="Arial"/>
          <w:szCs w:val="24"/>
        </w:rPr>
        <w:t>, může využívat pouze prostor (stavbu, místo), který byl k tomu účelu určen v souladu s právními předpisy, přičemž nesmí být překročen maximální stanovený počet osob.</w:t>
      </w:r>
    </w:p>
    <w:p w14:paraId="511941AA" w14:textId="77777777" w:rsidR="007A5C72" w:rsidRPr="00D452DD" w:rsidRDefault="007A5C72" w:rsidP="00182101">
      <w:pPr>
        <w:pStyle w:val="Zkladntext"/>
        <w:ind w:left="66"/>
        <w:rPr>
          <w:rFonts w:ascii="Arial" w:hAnsi="Arial" w:cs="Arial"/>
          <w:szCs w:val="24"/>
        </w:rPr>
      </w:pPr>
    </w:p>
    <w:p w14:paraId="50F8E582" w14:textId="77777777" w:rsidR="007A5C72" w:rsidRPr="00D452DD" w:rsidRDefault="00182101" w:rsidP="00182101">
      <w:pPr>
        <w:pStyle w:val="Zkladntext"/>
        <w:numPr>
          <w:ilvl w:val="0"/>
          <w:numId w:val="6"/>
        </w:numPr>
        <w:ind w:left="426"/>
        <w:rPr>
          <w:rFonts w:ascii="Arial" w:hAnsi="Arial" w:cs="Arial"/>
          <w:szCs w:val="24"/>
        </w:rPr>
      </w:pPr>
      <w:r w:rsidRPr="00D452DD">
        <w:rPr>
          <w:rFonts w:ascii="Arial" w:hAnsi="Arial" w:cs="Arial"/>
          <w:szCs w:val="24"/>
        </w:rPr>
        <w:t>Organizátor akce, který je právnickou osobou nebo podnikající fyzickou osobou je povinen zřídit preventivní požární hlídku.</w:t>
      </w:r>
    </w:p>
    <w:p w14:paraId="77898264" w14:textId="77777777" w:rsidR="007A5C72" w:rsidRPr="00D452DD" w:rsidRDefault="007A5C72" w:rsidP="00182101">
      <w:pPr>
        <w:pStyle w:val="Zkladntext"/>
        <w:rPr>
          <w:rFonts w:ascii="Arial" w:hAnsi="Arial" w:cs="Arial"/>
          <w:szCs w:val="24"/>
        </w:rPr>
      </w:pPr>
    </w:p>
    <w:p w14:paraId="715C322F" w14:textId="77777777" w:rsidR="007A5C72" w:rsidRPr="00D452DD" w:rsidRDefault="007A5C72" w:rsidP="00182101">
      <w:pPr>
        <w:pStyle w:val="Zkladntext"/>
        <w:numPr>
          <w:ilvl w:val="0"/>
          <w:numId w:val="6"/>
        </w:numPr>
        <w:ind w:left="426"/>
        <w:rPr>
          <w:rFonts w:ascii="Arial" w:hAnsi="Arial" w:cs="Arial"/>
          <w:szCs w:val="24"/>
        </w:rPr>
      </w:pPr>
      <w:r w:rsidRPr="00D452DD">
        <w:rPr>
          <w:rFonts w:ascii="Arial" w:hAnsi="Arial" w:cs="Arial"/>
          <w:szCs w:val="24"/>
        </w:rPr>
        <w:t>Při akcích ve vnitřním shromažďovacím prostoru, jejichž součástí jsou efekty s otevřeným ohněm nebo obdobným možným zdrojem zapálení, musí být přijata opatření k minimalizaci rizika možnosti vzniku požáru, např. umístění co nejmenšího počtu hořlavých dekorací apod.</w:t>
      </w:r>
    </w:p>
    <w:p w14:paraId="78FE18A7" w14:textId="77777777" w:rsidR="007A5C72" w:rsidRPr="00D452DD" w:rsidRDefault="007A5C72" w:rsidP="00182101">
      <w:pPr>
        <w:pStyle w:val="Zkladntext"/>
        <w:ind w:left="426"/>
        <w:rPr>
          <w:rFonts w:ascii="Arial" w:hAnsi="Arial" w:cs="Arial"/>
          <w:szCs w:val="24"/>
        </w:rPr>
      </w:pPr>
    </w:p>
    <w:p w14:paraId="4704A7F1" w14:textId="77777777" w:rsidR="007A5C72" w:rsidRPr="00D452DD" w:rsidRDefault="007A5C72" w:rsidP="00182101">
      <w:pPr>
        <w:pStyle w:val="Zkladntext"/>
        <w:numPr>
          <w:ilvl w:val="0"/>
          <w:numId w:val="6"/>
        </w:numPr>
        <w:ind w:left="426"/>
        <w:rPr>
          <w:rFonts w:ascii="Arial" w:hAnsi="Arial" w:cs="Arial"/>
          <w:szCs w:val="24"/>
        </w:rPr>
      </w:pPr>
      <w:r w:rsidRPr="00D452DD">
        <w:rPr>
          <w:rFonts w:ascii="Arial" w:hAnsi="Arial" w:cs="Arial"/>
          <w:szCs w:val="24"/>
        </w:rPr>
        <w:t>Při akcích, jejichž součástí bude provádění činností, které by mohly představovat zvláštní rizika (např. pyrotechnické efekty, ohňostroje, plnění balónků plynem, elektrické zařízení ve stáncích), musí být zabezpečeno dodržování zvláštních předpisů. Plnění balónků plyny, které ve směsi se vzduchem tvoří hořlavou nebo výbušnou směs, např. vodík a acetylén, je zakázáno.</w:t>
      </w:r>
    </w:p>
    <w:p w14:paraId="18ABAA56" w14:textId="77777777" w:rsidR="007A5C72" w:rsidRPr="00D452DD" w:rsidRDefault="007A5C72" w:rsidP="007A5C72">
      <w:pPr>
        <w:jc w:val="center"/>
        <w:rPr>
          <w:rFonts w:ascii="Arial" w:hAnsi="Arial" w:cs="Arial"/>
        </w:rPr>
      </w:pPr>
    </w:p>
    <w:p w14:paraId="0CB25A4B" w14:textId="77777777" w:rsidR="007A5C72" w:rsidRDefault="007A5C72">
      <w:pPr>
        <w:jc w:val="center"/>
        <w:rPr>
          <w:rFonts w:ascii="Arial" w:hAnsi="Arial" w:cs="Arial"/>
        </w:rPr>
      </w:pPr>
    </w:p>
    <w:p w14:paraId="313EB9CD" w14:textId="77777777" w:rsidR="00D452DD" w:rsidRPr="00D452DD" w:rsidRDefault="00D452DD">
      <w:pPr>
        <w:jc w:val="center"/>
        <w:rPr>
          <w:rFonts w:ascii="Arial" w:hAnsi="Arial" w:cs="Arial"/>
        </w:rPr>
      </w:pPr>
    </w:p>
    <w:p w14:paraId="4E6ABD0C" w14:textId="77777777" w:rsidR="00541C09" w:rsidRPr="00D452DD" w:rsidRDefault="00541C09">
      <w:pPr>
        <w:jc w:val="center"/>
        <w:rPr>
          <w:rFonts w:ascii="Arial" w:hAnsi="Arial" w:cs="Arial"/>
        </w:rPr>
      </w:pPr>
      <w:r w:rsidRPr="00D452DD">
        <w:rPr>
          <w:rFonts w:ascii="Arial" w:hAnsi="Arial" w:cs="Arial"/>
        </w:rPr>
        <w:t>Čl</w:t>
      </w:r>
      <w:r w:rsidR="00D452DD">
        <w:rPr>
          <w:rFonts w:ascii="Arial" w:hAnsi="Arial" w:cs="Arial"/>
        </w:rPr>
        <w:t>.</w:t>
      </w:r>
      <w:r w:rsidRPr="00D452DD">
        <w:rPr>
          <w:rFonts w:ascii="Arial" w:hAnsi="Arial" w:cs="Arial"/>
        </w:rPr>
        <w:t xml:space="preserve"> </w:t>
      </w:r>
      <w:r w:rsidR="00182101" w:rsidRPr="00D452DD">
        <w:rPr>
          <w:rFonts w:ascii="Arial" w:hAnsi="Arial" w:cs="Arial"/>
        </w:rPr>
        <w:t>4</w:t>
      </w:r>
    </w:p>
    <w:p w14:paraId="6FE34B73" w14:textId="77777777" w:rsidR="00541C09" w:rsidRPr="00D452DD" w:rsidRDefault="00182101">
      <w:pPr>
        <w:jc w:val="center"/>
        <w:rPr>
          <w:rFonts w:ascii="Arial" w:hAnsi="Arial" w:cs="Arial"/>
          <w:b/>
        </w:rPr>
      </w:pPr>
      <w:r w:rsidRPr="00D452DD">
        <w:rPr>
          <w:rFonts w:ascii="Arial" w:hAnsi="Arial" w:cs="Arial"/>
          <w:b/>
        </w:rPr>
        <w:t>Ohlašovací povinnost organizátora akce</w:t>
      </w:r>
    </w:p>
    <w:p w14:paraId="7DD26FA9" w14:textId="77777777" w:rsidR="00541C09" w:rsidRPr="00D452DD" w:rsidRDefault="00541C09">
      <w:pPr>
        <w:rPr>
          <w:rFonts w:ascii="Arial" w:hAnsi="Arial" w:cs="Arial"/>
        </w:rPr>
      </w:pPr>
    </w:p>
    <w:p w14:paraId="0D12B463" w14:textId="77777777" w:rsidR="00182101" w:rsidRPr="00D452DD" w:rsidRDefault="00182101" w:rsidP="00D452DD">
      <w:pPr>
        <w:pStyle w:val="Zkladntext"/>
        <w:numPr>
          <w:ilvl w:val="0"/>
          <w:numId w:val="7"/>
        </w:numPr>
        <w:ind w:left="426"/>
        <w:rPr>
          <w:rFonts w:ascii="Arial" w:hAnsi="Arial" w:cs="Arial"/>
          <w:szCs w:val="24"/>
        </w:rPr>
      </w:pPr>
      <w:r w:rsidRPr="00D452DD">
        <w:rPr>
          <w:rFonts w:ascii="Arial" w:hAnsi="Arial" w:cs="Arial"/>
          <w:szCs w:val="24"/>
        </w:rPr>
        <w:t>Organizátor akce je povinen předložit na Městský úřad Stochov zprávu dle přílohy č. 1 této vyhlášky o zajištění podmínek požární bezpečnosti nařízených touto vyhláškou.</w:t>
      </w:r>
    </w:p>
    <w:p w14:paraId="219EF589" w14:textId="77777777" w:rsidR="00D452DD" w:rsidRPr="00D452DD" w:rsidRDefault="00D452DD" w:rsidP="00D452DD">
      <w:pPr>
        <w:pStyle w:val="Zkladntext"/>
        <w:ind w:left="426"/>
        <w:rPr>
          <w:rFonts w:ascii="Arial" w:hAnsi="Arial" w:cs="Arial"/>
          <w:szCs w:val="24"/>
        </w:rPr>
      </w:pPr>
    </w:p>
    <w:p w14:paraId="6A3E4BC1" w14:textId="77777777" w:rsidR="00182101" w:rsidRPr="00D452DD" w:rsidRDefault="00182101" w:rsidP="00D452DD">
      <w:pPr>
        <w:pStyle w:val="Zkladntext"/>
        <w:numPr>
          <w:ilvl w:val="0"/>
          <w:numId w:val="7"/>
        </w:numPr>
        <w:ind w:left="426"/>
        <w:rPr>
          <w:rFonts w:ascii="Arial" w:hAnsi="Arial" w:cs="Arial"/>
          <w:szCs w:val="24"/>
        </w:rPr>
      </w:pPr>
      <w:r w:rsidRPr="00D452DD">
        <w:rPr>
          <w:rFonts w:ascii="Arial" w:hAnsi="Arial" w:cs="Arial"/>
          <w:szCs w:val="24"/>
        </w:rPr>
        <w:t>O</w:t>
      </w:r>
      <w:r w:rsidR="00D452DD" w:rsidRPr="00D452DD">
        <w:rPr>
          <w:rFonts w:ascii="Arial" w:hAnsi="Arial" w:cs="Arial"/>
          <w:szCs w:val="24"/>
        </w:rPr>
        <w:t>rganizátor akce přeloží zprávu dle předchozího odstavce nejméně 5 pracovních dnů před zahájením přípravných prací na předpokládaném místě konání akce</w:t>
      </w:r>
      <w:r w:rsidR="00EA3605">
        <w:rPr>
          <w:rFonts w:ascii="Arial" w:hAnsi="Arial" w:cs="Arial"/>
          <w:szCs w:val="24"/>
        </w:rPr>
        <w:t>.</w:t>
      </w:r>
    </w:p>
    <w:p w14:paraId="72ED13C9" w14:textId="77777777" w:rsidR="00D452DD" w:rsidRPr="00D452DD" w:rsidRDefault="00D452DD" w:rsidP="00D452DD">
      <w:pPr>
        <w:pStyle w:val="Zkladntext"/>
        <w:ind w:left="426"/>
        <w:rPr>
          <w:rFonts w:ascii="Arial" w:hAnsi="Arial" w:cs="Arial"/>
          <w:szCs w:val="24"/>
        </w:rPr>
      </w:pPr>
    </w:p>
    <w:p w14:paraId="0C1CFCB6" w14:textId="77777777" w:rsidR="00D452DD" w:rsidRDefault="00D452DD" w:rsidP="00D452DD">
      <w:pPr>
        <w:pStyle w:val="Zkladntext"/>
        <w:numPr>
          <w:ilvl w:val="0"/>
          <w:numId w:val="7"/>
        </w:numPr>
        <w:ind w:left="426"/>
        <w:rPr>
          <w:rFonts w:ascii="Arial" w:hAnsi="Arial" w:cs="Arial"/>
          <w:szCs w:val="24"/>
        </w:rPr>
      </w:pPr>
      <w:r w:rsidRPr="00D452DD">
        <w:rPr>
          <w:rFonts w:ascii="Arial" w:hAnsi="Arial" w:cs="Arial"/>
          <w:szCs w:val="24"/>
        </w:rPr>
        <w:t>Městský úřad rozhodne o vyslovení nesouhlasu s konáním akce, není-li prokázáno zabezpečení podmínek stanovených předpisy o požární ochraně a touto vyhláškou.</w:t>
      </w:r>
    </w:p>
    <w:p w14:paraId="4F177ACD" w14:textId="77777777" w:rsidR="00D452DD" w:rsidRPr="00D452DD" w:rsidRDefault="00D452DD" w:rsidP="00D452DD">
      <w:pPr>
        <w:pStyle w:val="Zkladntext"/>
        <w:ind w:left="426"/>
        <w:rPr>
          <w:rFonts w:ascii="Arial" w:hAnsi="Arial" w:cs="Arial"/>
          <w:szCs w:val="24"/>
        </w:rPr>
      </w:pPr>
    </w:p>
    <w:p w14:paraId="52CEFC83" w14:textId="77777777" w:rsidR="00D452DD" w:rsidRPr="00D452DD" w:rsidRDefault="00D452DD">
      <w:pPr>
        <w:jc w:val="both"/>
        <w:rPr>
          <w:rFonts w:ascii="Arial" w:hAnsi="Arial" w:cs="Arial"/>
        </w:rPr>
      </w:pPr>
    </w:p>
    <w:p w14:paraId="69BA18F6" w14:textId="77777777" w:rsidR="00541C09" w:rsidRPr="00D452DD" w:rsidRDefault="00541C09">
      <w:pPr>
        <w:jc w:val="both"/>
        <w:rPr>
          <w:rFonts w:ascii="Arial" w:hAnsi="Arial" w:cs="Arial"/>
        </w:rPr>
      </w:pPr>
    </w:p>
    <w:p w14:paraId="235C7A5F" w14:textId="77777777" w:rsidR="001F5637" w:rsidRPr="001F5637" w:rsidRDefault="00D452DD" w:rsidP="001F5637">
      <w:pPr>
        <w:jc w:val="center"/>
        <w:rPr>
          <w:rFonts w:ascii="Arial" w:hAnsi="Arial" w:cs="Arial"/>
        </w:rPr>
      </w:pPr>
      <w:r>
        <w:rPr>
          <w:rFonts w:ascii="Arial" w:hAnsi="Arial" w:cs="Arial"/>
        </w:rPr>
        <w:br w:type="page"/>
      </w:r>
      <w:r w:rsidR="00541C09" w:rsidRPr="00D452DD">
        <w:rPr>
          <w:rFonts w:ascii="Arial" w:hAnsi="Arial" w:cs="Arial"/>
        </w:rPr>
        <w:lastRenderedPageBreak/>
        <w:t>Čl</w:t>
      </w:r>
      <w:r>
        <w:rPr>
          <w:rFonts w:ascii="Arial" w:hAnsi="Arial" w:cs="Arial"/>
        </w:rPr>
        <w:t>. 5</w:t>
      </w:r>
    </w:p>
    <w:p w14:paraId="2DCF62A8" w14:textId="77777777" w:rsidR="001F5637" w:rsidRPr="001F5637" w:rsidRDefault="001F5637" w:rsidP="001F5637">
      <w:pPr>
        <w:pStyle w:val="Zkladntext"/>
        <w:jc w:val="center"/>
        <w:rPr>
          <w:rFonts w:ascii="Arial" w:hAnsi="Arial" w:cs="Arial"/>
          <w:b/>
          <w:color w:val="000000"/>
          <w:szCs w:val="24"/>
        </w:rPr>
      </w:pPr>
      <w:r w:rsidRPr="001F5637">
        <w:rPr>
          <w:rFonts w:ascii="Arial" w:hAnsi="Arial" w:cs="Arial"/>
          <w:b/>
          <w:color w:val="000000"/>
          <w:szCs w:val="24"/>
        </w:rPr>
        <w:t>Zrušovací ustanovení</w:t>
      </w:r>
    </w:p>
    <w:p w14:paraId="0808A033" w14:textId="77777777" w:rsidR="001F5637" w:rsidRPr="001F5637" w:rsidRDefault="001F5637" w:rsidP="001F5637">
      <w:pPr>
        <w:pStyle w:val="Zkladntext"/>
        <w:jc w:val="center"/>
        <w:rPr>
          <w:rFonts w:ascii="Arial" w:hAnsi="Arial" w:cs="Arial"/>
          <w:b/>
          <w:color w:val="000000"/>
          <w:szCs w:val="24"/>
        </w:rPr>
      </w:pPr>
    </w:p>
    <w:p w14:paraId="4DF67DD9" w14:textId="77777777" w:rsidR="001F5637" w:rsidRPr="001F5637" w:rsidRDefault="001F5637" w:rsidP="001F5637">
      <w:pPr>
        <w:pStyle w:val="Seznamoslovan"/>
        <w:spacing w:after="0"/>
        <w:ind w:left="0" w:firstLine="0"/>
        <w:rPr>
          <w:rFonts w:ascii="Arial" w:hAnsi="Arial" w:cs="Arial"/>
          <w:color w:val="000000"/>
          <w:szCs w:val="24"/>
        </w:rPr>
      </w:pPr>
      <w:r w:rsidRPr="001F5637">
        <w:rPr>
          <w:rFonts w:ascii="Arial" w:hAnsi="Arial" w:cs="Arial"/>
          <w:color w:val="000000"/>
          <w:szCs w:val="24"/>
        </w:rPr>
        <w:t xml:space="preserve">Touto vyhláškou se ruší obecně závazná vyhláška č. </w:t>
      </w:r>
      <w:r>
        <w:rPr>
          <w:rFonts w:ascii="Arial" w:hAnsi="Arial" w:cs="Arial"/>
          <w:color w:val="000000"/>
          <w:szCs w:val="24"/>
        </w:rPr>
        <w:t>2</w:t>
      </w:r>
      <w:r w:rsidRPr="001F5637">
        <w:rPr>
          <w:rFonts w:ascii="Arial" w:hAnsi="Arial" w:cs="Arial"/>
          <w:color w:val="000000"/>
          <w:szCs w:val="24"/>
        </w:rPr>
        <w:t>/2005 ze dne 20.4.2005.</w:t>
      </w:r>
    </w:p>
    <w:p w14:paraId="0446C5F4" w14:textId="77777777" w:rsidR="001F5637" w:rsidRDefault="001F5637" w:rsidP="00D452DD">
      <w:pPr>
        <w:jc w:val="center"/>
        <w:rPr>
          <w:rFonts w:ascii="Arial" w:hAnsi="Arial" w:cs="Arial"/>
          <w:b/>
          <w:bCs/>
          <w:color w:val="000000"/>
        </w:rPr>
      </w:pPr>
    </w:p>
    <w:p w14:paraId="2A24C622" w14:textId="77777777" w:rsidR="001F5637" w:rsidRPr="001F5637" w:rsidRDefault="001F5637" w:rsidP="00D452DD">
      <w:pPr>
        <w:jc w:val="center"/>
        <w:rPr>
          <w:rFonts w:ascii="Arial" w:hAnsi="Arial" w:cs="Arial"/>
          <w:bCs/>
          <w:color w:val="000000"/>
        </w:rPr>
      </w:pPr>
      <w:r w:rsidRPr="001F5637">
        <w:rPr>
          <w:rFonts w:ascii="Arial" w:hAnsi="Arial" w:cs="Arial"/>
          <w:bCs/>
          <w:color w:val="000000"/>
        </w:rPr>
        <w:t>Čl. 6</w:t>
      </w:r>
    </w:p>
    <w:p w14:paraId="5FD1CB6F" w14:textId="77777777" w:rsidR="00D452DD" w:rsidRPr="00D452DD" w:rsidRDefault="00D452DD" w:rsidP="00D452DD">
      <w:pPr>
        <w:jc w:val="center"/>
        <w:rPr>
          <w:rFonts w:ascii="Arial" w:hAnsi="Arial" w:cs="Arial"/>
          <w:b/>
          <w:bCs/>
          <w:color w:val="000000"/>
        </w:rPr>
      </w:pPr>
      <w:r w:rsidRPr="00D452DD">
        <w:rPr>
          <w:rFonts w:ascii="Arial" w:hAnsi="Arial" w:cs="Arial"/>
          <w:b/>
          <w:bCs/>
          <w:color w:val="000000"/>
        </w:rPr>
        <w:t>Účinnost</w:t>
      </w:r>
    </w:p>
    <w:p w14:paraId="0E764D4D" w14:textId="77777777" w:rsidR="00D452DD" w:rsidRPr="00D452DD" w:rsidRDefault="00D452DD" w:rsidP="00D452DD">
      <w:pPr>
        <w:jc w:val="center"/>
        <w:rPr>
          <w:rFonts w:ascii="Arial" w:hAnsi="Arial" w:cs="Arial"/>
          <w:b/>
          <w:bCs/>
          <w:color w:val="000000"/>
        </w:rPr>
      </w:pPr>
    </w:p>
    <w:p w14:paraId="6B802CA1" w14:textId="77777777" w:rsidR="00D452DD" w:rsidRPr="00D452DD" w:rsidRDefault="00D452DD" w:rsidP="00D452DD">
      <w:pPr>
        <w:pStyle w:val="Seznamoslovan"/>
        <w:spacing w:after="0"/>
        <w:ind w:left="0" w:firstLine="0"/>
        <w:rPr>
          <w:rFonts w:ascii="Arial" w:hAnsi="Arial" w:cs="Arial"/>
          <w:color w:val="000000"/>
          <w:szCs w:val="24"/>
        </w:rPr>
      </w:pPr>
      <w:r w:rsidRPr="00D452DD">
        <w:rPr>
          <w:rFonts w:ascii="Arial" w:hAnsi="Arial" w:cs="Arial"/>
          <w:color w:val="000000"/>
          <w:szCs w:val="24"/>
        </w:rPr>
        <w:t>Tato vyhláška nabývá účinnosti patnáctým dnem po dni jejího vyhlášení.</w:t>
      </w:r>
    </w:p>
    <w:p w14:paraId="2F3D1C64" w14:textId="77777777" w:rsidR="00D452DD" w:rsidRDefault="00D452DD" w:rsidP="00D452DD">
      <w:pPr>
        <w:spacing w:after="120"/>
        <w:rPr>
          <w:rFonts w:ascii="Arial" w:hAnsi="Arial" w:cs="Arial"/>
          <w:color w:val="000000"/>
        </w:rPr>
      </w:pPr>
    </w:p>
    <w:p w14:paraId="56770490" w14:textId="77777777" w:rsidR="002472DB" w:rsidRDefault="002472DB" w:rsidP="00D452DD">
      <w:pPr>
        <w:spacing w:after="120"/>
        <w:rPr>
          <w:rFonts w:ascii="Arial" w:hAnsi="Arial" w:cs="Arial"/>
          <w:color w:val="000000"/>
        </w:rPr>
        <w:sectPr w:rsidR="002472DB" w:rsidSect="002472DB">
          <w:type w:val="continuous"/>
          <w:pgSz w:w="11906" w:h="16838" w:code="9"/>
          <w:pgMar w:top="1418" w:right="1418" w:bottom="1418" w:left="1418" w:header="709" w:footer="709" w:gutter="0"/>
          <w:cols w:space="708"/>
          <w:docGrid w:linePitch="360"/>
        </w:sectPr>
      </w:pPr>
    </w:p>
    <w:p w14:paraId="2EF6F928" w14:textId="77777777" w:rsidR="00D452DD" w:rsidRDefault="00D452DD" w:rsidP="00D452DD">
      <w:pPr>
        <w:spacing w:after="120"/>
        <w:rPr>
          <w:rFonts w:ascii="Arial" w:hAnsi="Arial" w:cs="Arial"/>
          <w:color w:val="000000"/>
        </w:rPr>
      </w:pPr>
    </w:p>
    <w:p w14:paraId="53C13C23" w14:textId="77777777" w:rsidR="002472DB" w:rsidRPr="00D452DD" w:rsidRDefault="002472DB" w:rsidP="00D452DD">
      <w:pPr>
        <w:spacing w:after="120"/>
        <w:rPr>
          <w:rFonts w:ascii="Arial" w:hAnsi="Arial" w:cs="Arial"/>
          <w:color w:val="000000"/>
        </w:rPr>
      </w:pPr>
    </w:p>
    <w:p w14:paraId="372CE4EE" w14:textId="77777777" w:rsidR="00D452DD" w:rsidRPr="00D452DD" w:rsidRDefault="00D452DD" w:rsidP="00D452DD">
      <w:pPr>
        <w:spacing w:after="120"/>
        <w:rPr>
          <w:rFonts w:ascii="Arial" w:hAnsi="Arial" w:cs="Arial"/>
          <w:color w:val="000000"/>
        </w:rPr>
      </w:pPr>
    </w:p>
    <w:p w14:paraId="50574C9C" w14:textId="77777777" w:rsidR="00D452DD" w:rsidRPr="00D452DD" w:rsidRDefault="00D452DD" w:rsidP="00D452DD">
      <w:pPr>
        <w:spacing w:after="120"/>
        <w:rPr>
          <w:rFonts w:ascii="Arial" w:hAnsi="Arial" w:cs="Arial"/>
          <w:color w:val="000000"/>
        </w:rPr>
      </w:pPr>
    </w:p>
    <w:p w14:paraId="4022E7D2" w14:textId="77777777" w:rsidR="00D452DD" w:rsidRPr="00D452DD" w:rsidRDefault="00D452DD" w:rsidP="00D452DD">
      <w:pPr>
        <w:spacing w:after="120"/>
        <w:jc w:val="center"/>
        <w:rPr>
          <w:rFonts w:ascii="Arial" w:hAnsi="Arial" w:cs="Arial"/>
          <w:color w:val="000000"/>
        </w:rPr>
      </w:pPr>
      <w:r w:rsidRPr="00D452DD">
        <w:rPr>
          <w:rFonts w:ascii="Arial" w:hAnsi="Arial" w:cs="Arial"/>
          <w:color w:val="000000"/>
        </w:rPr>
        <w:t>...............................................</w:t>
      </w:r>
    </w:p>
    <w:p w14:paraId="16243364" w14:textId="77777777" w:rsidR="00D452DD" w:rsidRPr="00D452DD" w:rsidRDefault="00533E8A" w:rsidP="00D452DD">
      <w:pPr>
        <w:spacing w:after="120"/>
        <w:jc w:val="center"/>
        <w:rPr>
          <w:rFonts w:ascii="Arial" w:hAnsi="Arial" w:cs="Arial"/>
          <w:color w:val="000000"/>
        </w:rPr>
      </w:pPr>
      <w:r>
        <w:rPr>
          <w:rFonts w:ascii="Arial" w:hAnsi="Arial" w:cs="Arial"/>
          <w:color w:val="000000"/>
        </w:rPr>
        <w:t>Mgr. Miloslava Becherová</w:t>
      </w:r>
    </w:p>
    <w:p w14:paraId="05D43D7A" w14:textId="77777777" w:rsidR="00D452DD" w:rsidRPr="00D452DD" w:rsidRDefault="00D452DD" w:rsidP="00D452DD">
      <w:pPr>
        <w:spacing w:after="120"/>
        <w:jc w:val="center"/>
        <w:rPr>
          <w:rFonts w:ascii="Arial" w:hAnsi="Arial" w:cs="Arial"/>
          <w:color w:val="000000"/>
        </w:rPr>
      </w:pPr>
      <w:r w:rsidRPr="00D452DD">
        <w:rPr>
          <w:rFonts w:ascii="Arial" w:hAnsi="Arial" w:cs="Arial"/>
          <w:color w:val="000000"/>
        </w:rPr>
        <w:t>místostarost</w:t>
      </w:r>
      <w:r w:rsidR="00533E8A">
        <w:rPr>
          <w:rFonts w:ascii="Arial" w:hAnsi="Arial" w:cs="Arial"/>
          <w:color w:val="000000"/>
        </w:rPr>
        <w:t>k</w:t>
      </w:r>
      <w:r w:rsidRPr="00D452DD">
        <w:rPr>
          <w:rFonts w:ascii="Arial" w:hAnsi="Arial" w:cs="Arial"/>
          <w:color w:val="000000"/>
        </w:rPr>
        <w:t>a</w:t>
      </w:r>
    </w:p>
    <w:p w14:paraId="3A472300" w14:textId="77777777" w:rsidR="00D452DD" w:rsidRPr="00D452DD" w:rsidRDefault="00D452DD" w:rsidP="00D452DD">
      <w:pPr>
        <w:autoSpaceDE w:val="0"/>
        <w:autoSpaceDN w:val="0"/>
        <w:adjustRightInd w:val="0"/>
        <w:jc w:val="both"/>
        <w:rPr>
          <w:rFonts w:ascii="Arial" w:hAnsi="Arial" w:cs="Arial"/>
          <w:color w:val="000000"/>
        </w:rPr>
      </w:pPr>
    </w:p>
    <w:p w14:paraId="56167AE2" w14:textId="77777777" w:rsidR="00D452DD" w:rsidRDefault="00D452DD" w:rsidP="00D452DD">
      <w:pPr>
        <w:autoSpaceDE w:val="0"/>
        <w:autoSpaceDN w:val="0"/>
        <w:adjustRightInd w:val="0"/>
        <w:jc w:val="both"/>
        <w:rPr>
          <w:rFonts w:ascii="Arial" w:hAnsi="Arial" w:cs="Arial"/>
          <w:color w:val="000000"/>
        </w:rPr>
      </w:pPr>
    </w:p>
    <w:p w14:paraId="37751FAC" w14:textId="77777777" w:rsidR="002472DB" w:rsidRDefault="002472DB" w:rsidP="00D452DD">
      <w:pPr>
        <w:autoSpaceDE w:val="0"/>
        <w:autoSpaceDN w:val="0"/>
        <w:adjustRightInd w:val="0"/>
        <w:jc w:val="both"/>
        <w:rPr>
          <w:rFonts w:ascii="Arial" w:hAnsi="Arial" w:cs="Arial"/>
          <w:color w:val="000000"/>
        </w:rPr>
      </w:pPr>
    </w:p>
    <w:p w14:paraId="234CCEB8" w14:textId="77777777" w:rsidR="00D452DD" w:rsidRDefault="00D452DD" w:rsidP="00D452DD">
      <w:pPr>
        <w:autoSpaceDE w:val="0"/>
        <w:autoSpaceDN w:val="0"/>
        <w:adjustRightInd w:val="0"/>
        <w:jc w:val="both"/>
        <w:rPr>
          <w:rFonts w:ascii="Arial" w:hAnsi="Arial" w:cs="Arial"/>
          <w:color w:val="000000"/>
        </w:rPr>
      </w:pPr>
    </w:p>
    <w:p w14:paraId="54A33C63" w14:textId="77777777" w:rsidR="00D452DD" w:rsidRPr="00D452DD" w:rsidRDefault="00D452DD" w:rsidP="00D452DD">
      <w:pPr>
        <w:autoSpaceDE w:val="0"/>
        <w:autoSpaceDN w:val="0"/>
        <w:adjustRightInd w:val="0"/>
        <w:jc w:val="both"/>
        <w:rPr>
          <w:rFonts w:ascii="Arial" w:hAnsi="Arial" w:cs="Arial"/>
          <w:color w:val="000000"/>
        </w:rPr>
      </w:pPr>
    </w:p>
    <w:p w14:paraId="1550901D" w14:textId="77777777" w:rsidR="00D452DD" w:rsidRPr="00D452DD" w:rsidRDefault="00D452DD" w:rsidP="00D452DD">
      <w:pPr>
        <w:autoSpaceDE w:val="0"/>
        <w:autoSpaceDN w:val="0"/>
        <w:adjustRightInd w:val="0"/>
        <w:jc w:val="both"/>
        <w:rPr>
          <w:rFonts w:ascii="Arial" w:hAnsi="Arial" w:cs="Arial"/>
          <w:color w:val="000000"/>
        </w:rPr>
      </w:pPr>
    </w:p>
    <w:p w14:paraId="4EB55C76" w14:textId="77777777" w:rsidR="00D452DD" w:rsidRPr="00D452DD" w:rsidRDefault="00D452DD" w:rsidP="00D452DD">
      <w:pPr>
        <w:autoSpaceDE w:val="0"/>
        <w:autoSpaceDN w:val="0"/>
        <w:adjustRightInd w:val="0"/>
        <w:jc w:val="center"/>
        <w:rPr>
          <w:rFonts w:ascii="Arial" w:hAnsi="Arial" w:cs="Arial"/>
          <w:color w:val="000000"/>
        </w:rPr>
      </w:pPr>
      <w:r w:rsidRPr="00D452DD">
        <w:rPr>
          <w:rFonts w:ascii="Arial" w:hAnsi="Arial" w:cs="Arial"/>
          <w:color w:val="000000"/>
        </w:rPr>
        <w:t>…………………………………………..</w:t>
      </w:r>
    </w:p>
    <w:p w14:paraId="1EA8EFFD" w14:textId="77777777" w:rsidR="002472DB" w:rsidRDefault="00533E8A" w:rsidP="002472DB">
      <w:pPr>
        <w:spacing w:after="120"/>
        <w:jc w:val="center"/>
        <w:rPr>
          <w:rFonts w:ascii="Arial" w:hAnsi="Arial" w:cs="Arial"/>
          <w:color w:val="000000"/>
        </w:rPr>
      </w:pPr>
      <w:r>
        <w:rPr>
          <w:rFonts w:ascii="Arial" w:hAnsi="Arial" w:cs="Arial"/>
          <w:color w:val="000000"/>
        </w:rPr>
        <w:t>Ing. Roman Foršt</w:t>
      </w:r>
    </w:p>
    <w:p w14:paraId="520B7D93" w14:textId="77777777" w:rsidR="002472DB" w:rsidRDefault="00D452DD" w:rsidP="002472DB">
      <w:pPr>
        <w:spacing w:after="120"/>
        <w:jc w:val="center"/>
        <w:rPr>
          <w:rFonts w:ascii="Arial" w:hAnsi="Arial" w:cs="Arial"/>
          <w:color w:val="000000"/>
        </w:rPr>
      </w:pPr>
      <w:r w:rsidRPr="00D452DD">
        <w:rPr>
          <w:rFonts w:ascii="Arial" w:hAnsi="Arial" w:cs="Arial"/>
          <w:color w:val="000000"/>
        </w:rPr>
        <w:t>starosta</w:t>
      </w:r>
    </w:p>
    <w:p w14:paraId="1DDD40E1" w14:textId="77777777" w:rsidR="002472DB" w:rsidRDefault="002472DB" w:rsidP="002472DB">
      <w:pPr>
        <w:spacing w:after="120"/>
        <w:jc w:val="center"/>
        <w:rPr>
          <w:rFonts w:ascii="Arial" w:hAnsi="Arial" w:cs="Arial"/>
          <w:color w:val="000000"/>
        </w:rPr>
        <w:sectPr w:rsidR="002472DB" w:rsidSect="002472DB">
          <w:type w:val="continuous"/>
          <w:pgSz w:w="11906" w:h="16838" w:code="9"/>
          <w:pgMar w:top="1418" w:right="1418" w:bottom="1418" w:left="1418" w:header="709" w:footer="709" w:gutter="0"/>
          <w:cols w:num="2" w:space="708"/>
          <w:docGrid w:linePitch="360"/>
        </w:sectPr>
      </w:pPr>
    </w:p>
    <w:p w14:paraId="4C0EAE5C" w14:textId="77777777" w:rsidR="002472DB" w:rsidRDefault="002472DB" w:rsidP="002472DB">
      <w:pPr>
        <w:spacing w:after="120"/>
        <w:jc w:val="center"/>
        <w:rPr>
          <w:rFonts w:ascii="Arial" w:hAnsi="Arial" w:cs="Arial"/>
          <w:color w:val="000000"/>
        </w:rPr>
      </w:pPr>
    </w:p>
    <w:p w14:paraId="6A43E938" w14:textId="77777777" w:rsidR="002472DB" w:rsidRDefault="002472DB" w:rsidP="002472DB">
      <w:pPr>
        <w:spacing w:after="120"/>
        <w:jc w:val="center"/>
        <w:rPr>
          <w:rFonts w:ascii="Arial" w:hAnsi="Arial" w:cs="Arial"/>
          <w:color w:val="000000"/>
        </w:rPr>
      </w:pPr>
    </w:p>
    <w:p w14:paraId="4A56F577" w14:textId="77777777" w:rsidR="002472DB" w:rsidRDefault="002472DB" w:rsidP="002472DB">
      <w:pPr>
        <w:spacing w:after="120"/>
        <w:jc w:val="center"/>
        <w:rPr>
          <w:rFonts w:ascii="Arial" w:hAnsi="Arial" w:cs="Arial"/>
          <w:color w:val="000000"/>
        </w:rPr>
      </w:pPr>
    </w:p>
    <w:p w14:paraId="0513B432" w14:textId="77777777" w:rsidR="002472DB" w:rsidRDefault="002472DB" w:rsidP="002472DB">
      <w:pPr>
        <w:spacing w:after="120"/>
        <w:jc w:val="center"/>
        <w:rPr>
          <w:rFonts w:ascii="Arial" w:hAnsi="Arial" w:cs="Arial"/>
          <w:color w:val="000000"/>
        </w:rPr>
        <w:sectPr w:rsidR="002472DB" w:rsidSect="002472DB">
          <w:type w:val="continuous"/>
          <w:pgSz w:w="11906" w:h="16838" w:code="9"/>
          <w:pgMar w:top="1418" w:right="1418" w:bottom="1418" w:left="1418" w:header="709" w:footer="709" w:gutter="0"/>
          <w:cols w:space="708"/>
          <w:docGrid w:linePitch="360"/>
        </w:sectPr>
      </w:pPr>
    </w:p>
    <w:p w14:paraId="5FF48D19" w14:textId="77777777" w:rsidR="002472DB" w:rsidRDefault="002472DB" w:rsidP="002472DB">
      <w:pPr>
        <w:spacing w:after="120"/>
        <w:jc w:val="center"/>
        <w:rPr>
          <w:rFonts w:ascii="Arial" w:hAnsi="Arial" w:cs="Arial"/>
          <w:color w:val="000000"/>
        </w:rPr>
      </w:pPr>
    </w:p>
    <w:p w14:paraId="43D5D4FE" w14:textId="77777777" w:rsidR="002472DB" w:rsidRDefault="002472DB" w:rsidP="002472DB">
      <w:pPr>
        <w:spacing w:after="120"/>
        <w:rPr>
          <w:rFonts w:ascii="Arial" w:hAnsi="Arial" w:cs="Arial"/>
          <w:color w:val="000000"/>
        </w:rPr>
      </w:pPr>
    </w:p>
    <w:p w14:paraId="7D58F71A" w14:textId="77777777" w:rsidR="00D452DD" w:rsidRPr="00D452DD" w:rsidRDefault="002472DB" w:rsidP="002472DB">
      <w:pPr>
        <w:spacing w:after="120"/>
        <w:rPr>
          <w:rFonts w:ascii="Arial" w:hAnsi="Arial" w:cs="Arial"/>
          <w:color w:val="000000"/>
        </w:rPr>
      </w:pPr>
      <w:r>
        <w:rPr>
          <w:rFonts w:ascii="Arial" w:hAnsi="Arial" w:cs="Arial"/>
          <w:color w:val="000000"/>
        </w:rPr>
        <w:t>V</w:t>
      </w:r>
      <w:r w:rsidR="00D452DD" w:rsidRPr="00D452DD">
        <w:rPr>
          <w:rFonts w:ascii="Arial" w:hAnsi="Arial" w:cs="Arial"/>
          <w:color w:val="000000"/>
        </w:rPr>
        <w:t>yvěšeno na úřední desce obecního úřadu dne:</w:t>
      </w:r>
    </w:p>
    <w:p w14:paraId="590C90B0" w14:textId="77777777" w:rsidR="00EC30B9" w:rsidRDefault="00D452DD" w:rsidP="00D452DD">
      <w:pPr>
        <w:tabs>
          <w:tab w:val="left" w:pos="1080"/>
          <w:tab w:val="left" w:pos="7020"/>
        </w:tabs>
        <w:rPr>
          <w:rFonts w:ascii="Arial" w:hAnsi="Arial" w:cs="Arial"/>
          <w:color w:val="000000"/>
        </w:rPr>
      </w:pPr>
      <w:r w:rsidRPr="00D452DD">
        <w:rPr>
          <w:rFonts w:ascii="Arial" w:hAnsi="Arial" w:cs="Arial"/>
          <w:color w:val="000000"/>
        </w:rPr>
        <w:t>Sejmuto z úřední desky obecního úřadu dne:</w:t>
      </w:r>
    </w:p>
    <w:p w14:paraId="52178DAC" w14:textId="77777777" w:rsidR="00D452DD" w:rsidRPr="00D452DD" w:rsidRDefault="00D452DD" w:rsidP="00D452DD">
      <w:pPr>
        <w:tabs>
          <w:tab w:val="left" w:pos="1080"/>
          <w:tab w:val="left" w:pos="7020"/>
        </w:tabs>
        <w:rPr>
          <w:rFonts w:ascii="Arial" w:hAnsi="Arial" w:cs="Arial"/>
          <w:color w:val="000000"/>
        </w:rPr>
      </w:pPr>
      <w:r w:rsidRPr="00D452DD">
        <w:rPr>
          <w:rFonts w:ascii="Arial" w:hAnsi="Arial" w:cs="Arial"/>
          <w:color w:val="000000"/>
        </w:rPr>
        <w:tab/>
      </w:r>
    </w:p>
    <w:p w14:paraId="6CA2E23D" w14:textId="77777777" w:rsidR="00EA3605" w:rsidRPr="00EC30B9" w:rsidRDefault="00D452DD" w:rsidP="00D452DD">
      <w:pPr>
        <w:autoSpaceDE w:val="0"/>
        <w:autoSpaceDN w:val="0"/>
        <w:adjustRightInd w:val="0"/>
        <w:contextualSpacing/>
        <w:jc w:val="both"/>
        <w:rPr>
          <w:rFonts w:ascii="Arial" w:eastAsia="Calibri" w:hAnsi="Arial" w:cs="Arial"/>
          <w:color w:val="000000"/>
          <w:sz w:val="22"/>
          <w:szCs w:val="22"/>
        </w:rPr>
      </w:pPr>
      <w:r w:rsidRPr="00EC30B9">
        <w:rPr>
          <w:rFonts w:ascii="Arial" w:eastAsia="Calibri" w:hAnsi="Arial" w:cs="Arial"/>
          <w:color w:val="000000"/>
          <w:sz w:val="22"/>
          <w:szCs w:val="22"/>
        </w:rPr>
        <w:t xml:space="preserve">Zveřejnění vyhlášky bylo shodně provedeno způsobem umožňujícím dálkový přístup. </w:t>
      </w:r>
    </w:p>
    <w:p w14:paraId="248A7010" w14:textId="16EBD348" w:rsidR="00EA3605" w:rsidRDefault="00EA3605" w:rsidP="00EA3605">
      <w:pPr>
        <w:autoSpaceDE w:val="0"/>
        <w:autoSpaceDN w:val="0"/>
        <w:adjustRightInd w:val="0"/>
        <w:contextualSpacing/>
        <w:jc w:val="both"/>
        <w:rPr>
          <w:rFonts w:ascii="Arial" w:hAnsi="Arial" w:cs="Arial"/>
        </w:rPr>
      </w:pPr>
    </w:p>
    <w:sectPr w:rsidR="00EA3605" w:rsidSect="002472DB">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14FD1" w14:textId="77777777" w:rsidR="008761E2" w:rsidRDefault="008761E2">
      <w:r>
        <w:separator/>
      </w:r>
    </w:p>
  </w:endnote>
  <w:endnote w:type="continuationSeparator" w:id="0">
    <w:p w14:paraId="0804FD37" w14:textId="77777777" w:rsidR="008761E2" w:rsidRDefault="00876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E1F63" w14:textId="77777777" w:rsidR="008761E2" w:rsidRDefault="008761E2">
      <w:r>
        <w:separator/>
      </w:r>
    </w:p>
  </w:footnote>
  <w:footnote w:type="continuationSeparator" w:id="0">
    <w:p w14:paraId="1ABCB24E" w14:textId="77777777" w:rsidR="008761E2" w:rsidRDefault="00876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6CF0"/>
    <w:multiLevelType w:val="hybridMultilevel"/>
    <w:tmpl w:val="D46252B2"/>
    <w:lvl w:ilvl="0" w:tplc="016ABF8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FA0C20"/>
    <w:multiLevelType w:val="hybridMultilevel"/>
    <w:tmpl w:val="D46252B2"/>
    <w:lvl w:ilvl="0" w:tplc="016ABF8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C43C8F"/>
    <w:multiLevelType w:val="hybridMultilevel"/>
    <w:tmpl w:val="D2CA36C2"/>
    <w:lvl w:ilvl="0" w:tplc="016ABF8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1F245DE"/>
    <w:multiLevelType w:val="hybridMultilevel"/>
    <w:tmpl w:val="D46252B2"/>
    <w:lvl w:ilvl="0" w:tplc="016ABF8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AE11902"/>
    <w:multiLevelType w:val="hybridMultilevel"/>
    <w:tmpl w:val="D05010D0"/>
    <w:lvl w:ilvl="0" w:tplc="CE2297C4">
      <w:start w:val="1"/>
      <w:numFmt w:val="lowerLetter"/>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5" w15:restartNumberingAfterBreak="0">
    <w:nsid w:val="58A16820"/>
    <w:multiLevelType w:val="hybridMultilevel"/>
    <w:tmpl w:val="D46252B2"/>
    <w:lvl w:ilvl="0" w:tplc="016ABF8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64E7249"/>
    <w:multiLevelType w:val="hybridMultilevel"/>
    <w:tmpl w:val="3DFA2014"/>
    <w:lvl w:ilvl="0" w:tplc="9EF00174">
      <w:start w:val="1"/>
      <w:numFmt w:val="decimal"/>
      <w:lvlText w:val="(%1)"/>
      <w:lvlJc w:val="left"/>
      <w:pPr>
        <w:ind w:left="690" w:hanging="390"/>
      </w:pPr>
      <w:rPr>
        <w:rFonts w:hint="default"/>
      </w:rPr>
    </w:lvl>
    <w:lvl w:ilvl="1" w:tplc="04050019" w:tentative="1">
      <w:start w:val="1"/>
      <w:numFmt w:val="lowerLetter"/>
      <w:lvlText w:val="%2."/>
      <w:lvlJc w:val="left"/>
      <w:pPr>
        <w:ind w:left="1380" w:hanging="360"/>
      </w:pPr>
    </w:lvl>
    <w:lvl w:ilvl="2" w:tplc="0405001B" w:tentative="1">
      <w:start w:val="1"/>
      <w:numFmt w:val="lowerRoman"/>
      <w:lvlText w:val="%3."/>
      <w:lvlJc w:val="right"/>
      <w:pPr>
        <w:ind w:left="2100" w:hanging="180"/>
      </w:pPr>
    </w:lvl>
    <w:lvl w:ilvl="3" w:tplc="0405000F" w:tentative="1">
      <w:start w:val="1"/>
      <w:numFmt w:val="decimal"/>
      <w:lvlText w:val="%4."/>
      <w:lvlJc w:val="left"/>
      <w:pPr>
        <w:ind w:left="2820" w:hanging="360"/>
      </w:pPr>
    </w:lvl>
    <w:lvl w:ilvl="4" w:tplc="04050019" w:tentative="1">
      <w:start w:val="1"/>
      <w:numFmt w:val="lowerLetter"/>
      <w:lvlText w:val="%5."/>
      <w:lvlJc w:val="left"/>
      <w:pPr>
        <w:ind w:left="3540" w:hanging="360"/>
      </w:pPr>
    </w:lvl>
    <w:lvl w:ilvl="5" w:tplc="0405001B" w:tentative="1">
      <w:start w:val="1"/>
      <w:numFmt w:val="lowerRoman"/>
      <w:lvlText w:val="%6."/>
      <w:lvlJc w:val="right"/>
      <w:pPr>
        <w:ind w:left="4260" w:hanging="180"/>
      </w:pPr>
    </w:lvl>
    <w:lvl w:ilvl="6" w:tplc="0405000F" w:tentative="1">
      <w:start w:val="1"/>
      <w:numFmt w:val="decimal"/>
      <w:lvlText w:val="%7."/>
      <w:lvlJc w:val="left"/>
      <w:pPr>
        <w:ind w:left="4980" w:hanging="360"/>
      </w:pPr>
    </w:lvl>
    <w:lvl w:ilvl="7" w:tplc="04050019" w:tentative="1">
      <w:start w:val="1"/>
      <w:numFmt w:val="lowerLetter"/>
      <w:lvlText w:val="%8."/>
      <w:lvlJc w:val="left"/>
      <w:pPr>
        <w:ind w:left="5700" w:hanging="360"/>
      </w:pPr>
    </w:lvl>
    <w:lvl w:ilvl="8" w:tplc="0405001B" w:tentative="1">
      <w:start w:val="1"/>
      <w:numFmt w:val="lowerRoman"/>
      <w:lvlText w:val="%9."/>
      <w:lvlJc w:val="right"/>
      <w:pPr>
        <w:ind w:left="6420" w:hanging="180"/>
      </w:pPr>
    </w:lvl>
  </w:abstractNum>
  <w:num w:numId="1" w16cid:durableId="908030783">
    <w:abstractNumId w:val="4"/>
  </w:num>
  <w:num w:numId="2" w16cid:durableId="192041361">
    <w:abstractNumId w:val="2"/>
  </w:num>
  <w:num w:numId="3" w16cid:durableId="136262644">
    <w:abstractNumId w:val="1"/>
  </w:num>
  <w:num w:numId="4" w16cid:durableId="881554520">
    <w:abstractNumId w:val="6"/>
  </w:num>
  <w:num w:numId="5" w16cid:durableId="1676035310">
    <w:abstractNumId w:val="0"/>
  </w:num>
  <w:num w:numId="6" w16cid:durableId="1269199612">
    <w:abstractNumId w:val="5"/>
  </w:num>
  <w:num w:numId="7" w16cid:durableId="234554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71"/>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1937"/>
    <w:rsid w:val="00011937"/>
    <w:rsid w:val="00070870"/>
    <w:rsid w:val="000D4792"/>
    <w:rsid w:val="00182101"/>
    <w:rsid w:val="00197ED3"/>
    <w:rsid w:val="001F5637"/>
    <w:rsid w:val="002472DB"/>
    <w:rsid w:val="00346056"/>
    <w:rsid w:val="003C09B2"/>
    <w:rsid w:val="00527B9F"/>
    <w:rsid w:val="00533E8A"/>
    <w:rsid w:val="00541C09"/>
    <w:rsid w:val="007A5C72"/>
    <w:rsid w:val="00861D23"/>
    <w:rsid w:val="008665FA"/>
    <w:rsid w:val="008761E2"/>
    <w:rsid w:val="009371E9"/>
    <w:rsid w:val="00A16797"/>
    <w:rsid w:val="00AC3F1E"/>
    <w:rsid w:val="00B36D78"/>
    <w:rsid w:val="00BC495B"/>
    <w:rsid w:val="00CE4E20"/>
    <w:rsid w:val="00CF7207"/>
    <w:rsid w:val="00D034F9"/>
    <w:rsid w:val="00D452DD"/>
    <w:rsid w:val="00EA3605"/>
    <w:rsid w:val="00EC30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A520C"/>
  <w15:chartTrackingRefBased/>
  <w15:docId w15:val="{55627874-77F5-4399-A6AD-970B5F300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4">
    <w:name w:val="heading 4"/>
    <w:basedOn w:val="Normln"/>
    <w:next w:val="Normln"/>
    <w:link w:val="Nadpis4Char"/>
    <w:uiPriority w:val="9"/>
    <w:unhideWhenUsed/>
    <w:qFormat/>
    <w:rsid w:val="001F5637"/>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32"/>
    </w:rPr>
  </w:style>
  <w:style w:type="paragraph" w:styleId="Zkladntextodsazen">
    <w:name w:val="Body Text Indent"/>
    <w:basedOn w:val="Normln"/>
    <w:semiHidden/>
    <w:pPr>
      <w:ind w:firstLine="708"/>
      <w:jc w:val="both"/>
    </w:pPr>
    <w:rPr>
      <w:sz w:val="20"/>
    </w:rPr>
  </w:style>
  <w:style w:type="paragraph" w:styleId="Zkladntext">
    <w:name w:val="Body Text"/>
    <w:basedOn w:val="Normln"/>
    <w:semiHidden/>
    <w:pPr>
      <w:jc w:val="both"/>
    </w:pPr>
    <w:rPr>
      <w:szCs w:val="20"/>
    </w:rPr>
  </w:style>
  <w:style w:type="paragraph" w:customStyle="1" w:styleId="Seznamoslovan">
    <w:name w:val="Seznam očíslovaný"/>
    <w:basedOn w:val="Zkladntext"/>
    <w:rsid w:val="00D452DD"/>
    <w:pPr>
      <w:widowControl w:val="0"/>
      <w:spacing w:after="113"/>
      <w:ind w:left="425" w:hanging="424"/>
    </w:pPr>
  </w:style>
  <w:style w:type="character" w:customStyle="1" w:styleId="Nadpis4Char">
    <w:name w:val="Nadpis 4 Char"/>
    <w:link w:val="Nadpis4"/>
    <w:uiPriority w:val="9"/>
    <w:rsid w:val="001F5637"/>
    <w:rPr>
      <w:rFonts w:ascii="Calibri" w:hAnsi="Calibri"/>
      <w:b/>
      <w:bCs/>
      <w:sz w:val="28"/>
      <w:szCs w:val="28"/>
    </w:rPr>
  </w:style>
  <w:style w:type="character" w:styleId="Odkaznakoment">
    <w:name w:val="annotation reference"/>
    <w:uiPriority w:val="99"/>
    <w:semiHidden/>
    <w:unhideWhenUsed/>
    <w:rsid w:val="003C09B2"/>
    <w:rPr>
      <w:sz w:val="16"/>
      <w:szCs w:val="16"/>
    </w:rPr>
  </w:style>
  <w:style w:type="paragraph" w:styleId="Textkomente">
    <w:name w:val="annotation text"/>
    <w:basedOn w:val="Normln"/>
    <w:link w:val="TextkomenteChar"/>
    <w:uiPriority w:val="99"/>
    <w:semiHidden/>
    <w:unhideWhenUsed/>
    <w:rsid w:val="003C09B2"/>
    <w:rPr>
      <w:sz w:val="20"/>
      <w:szCs w:val="20"/>
    </w:rPr>
  </w:style>
  <w:style w:type="character" w:customStyle="1" w:styleId="TextkomenteChar">
    <w:name w:val="Text komentáře Char"/>
    <w:basedOn w:val="Standardnpsmoodstavce"/>
    <w:link w:val="Textkomente"/>
    <w:uiPriority w:val="99"/>
    <w:semiHidden/>
    <w:rsid w:val="003C09B2"/>
  </w:style>
  <w:style w:type="paragraph" w:styleId="Pedmtkomente">
    <w:name w:val="annotation subject"/>
    <w:basedOn w:val="Textkomente"/>
    <w:next w:val="Textkomente"/>
    <w:link w:val="PedmtkomenteChar"/>
    <w:uiPriority w:val="99"/>
    <w:semiHidden/>
    <w:unhideWhenUsed/>
    <w:rsid w:val="003C09B2"/>
    <w:rPr>
      <w:b/>
      <w:bCs/>
    </w:rPr>
  </w:style>
  <w:style w:type="character" w:customStyle="1" w:styleId="PedmtkomenteChar">
    <w:name w:val="Předmět komentáře Char"/>
    <w:link w:val="Pedmtkomente"/>
    <w:uiPriority w:val="99"/>
    <w:semiHidden/>
    <w:rsid w:val="003C09B2"/>
    <w:rPr>
      <w:b/>
      <w:bCs/>
    </w:rPr>
  </w:style>
  <w:style w:type="paragraph" w:styleId="Textbubliny">
    <w:name w:val="Balloon Text"/>
    <w:basedOn w:val="Normln"/>
    <w:link w:val="TextbublinyChar"/>
    <w:uiPriority w:val="99"/>
    <w:semiHidden/>
    <w:unhideWhenUsed/>
    <w:rsid w:val="003C09B2"/>
    <w:rPr>
      <w:rFonts w:ascii="Segoe UI" w:hAnsi="Segoe UI" w:cs="Segoe UI"/>
      <w:sz w:val="18"/>
      <w:szCs w:val="18"/>
    </w:rPr>
  </w:style>
  <w:style w:type="character" w:customStyle="1" w:styleId="TextbublinyChar">
    <w:name w:val="Text bubliny Char"/>
    <w:link w:val="Textbubliny"/>
    <w:uiPriority w:val="99"/>
    <w:semiHidden/>
    <w:rsid w:val="003C09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808223">
      <w:bodyDiv w:val="1"/>
      <w:marLeft w:val="0"/>
      <w:marRight w:val="0"/>
      <w:marTop w:val="0"/>
      <w:marBottom w:val="0"/>
      <w:divBdr>
        <w:top w:val="none" w:sz="0" w:space="0" w:color="auto"/>
        <w:left w:val="none" w:sz="0" w:space="0" w:color="auto"/>
        <w:bottom w:val="none" w:sz="0" w:space="0" w:color="auto"/>
        <w:right w:val="none" w:sz="0" w:space="0" w:color="auto"/>
      </w:divBdr>
    </w:div>
    <w:div w:id="1953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8673E-67D1-42B4-A009-5775A0851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623</Words>
  <Characters>3677</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MU Stochov</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c:creator>
  <cp:keywords/>
  <cp:lastModifiedBy>Sylva Filipová</cp:lastModifiedBy>
  <cp:revision>3</cp:revision>
  <cp:lastPrinted>2018-12-17T17:03:00Z</cp:lastPrinted>
  <dcterms:created xsi:type="dcterms:W3CDTF">2018-12-17T17:03:00Z</dcterms:created>
  <dcterms:modified xsi:type="dcterms:W3CDTF">2023-12-04T15:26:00Z</dcterms:modified>
</cp:coreProperties>
</file>