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7434" w14:textId="77777777" w:rsidR="00B76DAC" w:rsidRPr="00B76DAC" w:rsidRDefault="00B76DAC" w:rsidP="00B76DAC">
      <w:pPr>
        <w:suppressAutoHyphens/>
        <w:spacing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Mimoň</w:t>
      </w:r>
    </w:p>
    <w:p w14:paraId="4955A417" w14:textId="77777777" w:rsidR="00B76DAC" w:rsidRPr="00B76DAC" w:rsidRDefault="00B76DAC" w:rsidP="00B76DAC">
      <w:pPr>
        <w:suppressAutoHyphens/>
        <w:spacing w:line="276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B76DAC">
        <w:rPr>
          <w:rFonts w:ascii="Arial" w:hAnsi="Arial" w:cs="Arial"/>
          <w:b/>
          <w:sz w:val="24"/>
          <w:szCs w:val="24"/>
          <w:lang w:eastAsia="ar-SA"/>
        </w:rPr>
        <w:t>Obecně závazná vyhláška města Mimoň</w:t>
      </w:r>
    </w:p>
    <w:p w14:paraId="7584DED8" w14:textId="77777777" w:rsidR="00B76DAC" w:rsidRPr="00B76DAC" w:rsidRDefault="00B76DAC" w:rsidP="00B76DAC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0565F22B" w14:textId="77777777" w:rsidR="00982CCC" w:rsidRDefault="00982CCC" w:rsidP="00B76DAC">
      <w:pPr>
        <w:pStyle w:val="Zkladntextodsazen"/>
        <w:ind w:left="0" w:firstLine="0"/>
        <w:jc w:val="center"/>
        <w:rPr>
          <w:rFonts w:ascii="Arial" w:hAnsi="Arial" w:cs="Arial"/>
          <w:b/>
          <w:szCs w:val="24"/>
        </w:rPr>
      </w:pPr>
      <w:r w:rsidRPr="00B76DAC">
        <w:rPr>
          <w:rFonts w:ascii="Arial" w:hAnsi="Arial" w:cs="Arial"/>
          <w:b/>
          <w:sz w:val="22"/>
          <w:szCs w:val="22"/>
        </w:rPr>
        <w:t>o zákazu konzumace alkoholických nápojů na veřejných prostranstvích</w:t>
      </w:r>
    </w:p>
    <w:p w14:paraId="33080C1A" w14:textId="77777777" w:rsidR="00982CCC" w:rsidRDefault="00982CCC" w:rsidP="00982CC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 xml:space="preserve">             </w:t>
      </w:r>
    </w:p>
    <w:p w14:paraId="56C508ED" w14:textId="7678325F" w:rsidR="00982CCC" w:rsidRDefault="00982CCC" w:rsidP="00982CC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města Mimoň se na svém zasedání </w:t>
      </w:r>
      <w:r w:rsidRPr="00982CCC">
        <w:rPr>
          <w:rFonts w:ascii="Arial" w:hAnsi="Arial" w:cs="Arial"/>
          <w:sz w:val="24"/>
          <w:szCs w:val="24"/>
        </w:rPr>
        <w:t xml:space="preserve">dne </w:t>
      </w:r>
      <w:r w:rsidR="00450412">
        <w:rPr>
          <w:rFonts w:ascii="Arial" w:hAnsi="Arial" w:cs="Arial"/>
          <w:sz w:val="24"/>
          <w:szCs w:val="24"/>
        </w:rPr>
        <w:t xml:space="preserve">16. 3. 2023 </w:t>
      </w:r>
      <w:r w:rsidRPr="00982CCC">
        <w:rPr>
          <w:rFonts w:ascii="Arial" w:hAnsi="Arial" w:cs="Arial"/>
          <w:sz w:val="24"/>
          <w:szCs w:val="24"/>
        </w:rPr>
        <w:t xml:space="preserve">usnesením </w:t>
      </w:r>
      <w:r w:rsidR="00B76DAC">
        <w:rPr>
          <w:rFonts w:ascii="Arial" w:hAnsi="Arial" w:cs="Arial"/>
          <w:sz w:val="24"/>
          <w:szCs w:val="24"/>
        </w:rPr>
        <w:t>Z23/</w:t>
      </w:r>
      <w:r w:rsidR="00450412">
        <w:rPr>
          <w:rFonts w:ascii="Arial" w:hAnsi="Arial" w:cs="Arial"/>
          <w:sz w:val="24"/>
          <w:szCs w:val="24"/>
        </w:rPr>
        <w:t>28</w:t>
      </w:r>
      <w:r w:rsidRPr="00982C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usneslo vydat v souladu s ustanovením § 10 písm. a), § 35 a § 84 odst. 2 písm. h) zákona č.</w:t>
      </w:r>
      <w:r w:rsidR="00B76DA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5FF450E0" w14:textId="77777777" w:rsidR="00982CCC" w:rsidRDefault="00982CCC" w:rsidP="00982CCC">
      <w:pPr>
        <w:jc w:val="both"/>
        <w:rPr>
          <w:rFonts w:ascii="Arial" w:hAnsi="Arial" w:cs="Arial"/>
          <w:sz w:val="24"/>
          <w:szCs w:val="24"/>
        </w:rPr>
      </w:pPr>
    </w:p>
    <w:p w14:paraId="3ACF86FA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</w:t>
      </w:r>
    </w:p>
    <w:p w14:paraId="467A0A59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Úvodní ustanovení</w:t>
      </w:r>
    </w:p>
    <w:p w14:paraId="52EBD6E4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</w:p>
    <w:p w14:paraId="3C9FCB82" w14:textId="77777777" w:rsidR="00A8067D" w:rsidRPr="00CF495E" w:rsidRDefault="00A8067D" w:rsidP="00B76DAC">
      <w:pPr>
        <w:pStyle w:val="Normlnweb"/>
        <w:numPr>
          <w:ilvl w:val="0"/>
          <w:numId w:val="2"/>
        </w:numPr>
        <w:tabs>
          <w:tab w:val="num" w:pos="405"/>
        </w:tabs>
        <w:spacing w:before="0" w:after="0"/>
        <w:ind w:left="405" w:hanging="405"/>
        <w:jc w:val="both"/>
        <w:rPr>
          <w:rFonts w:ascii="Arial" w:hAnsi="Arial" w:cs="Arial"/>
          <w:bCs/>
        </w:rPr>
      </w:pPr>
      <w:r w:rsidRPr="00CF495E">
        <w:rPr>
          <w:rFonts w:ascii="Arial" w:hAnsi="Arial" w:cs="Arial"/>
        </w:rPr>
        <w:t>Cílem této vyhlášky je přispět k ochraně veřejného pořádku, dobrých mravů, bezpečnosti ve městě Mimoň a k zajištění mravního vývoje dětí a mladistvých v rámci zabezpečení místních záležitostí veřejného pořádku, a to prostřednictvím zákazu požívání alkoholických nápojů</w:t>
      </w:r>
      <w:r w:rsidRPr="00CF495E">
        <w:rPr>
          <w:rStyle w:val="Znakapoznpodarou"/>
          <w:rFonts w:ascii="Arial" w:hAnsi="Arial" w:cs="Arial"/>
        </w:rPr>
        <w:footnoteReference w:id="1"/>
      </w:r>
      <w:r w:rsidRPr="00CF495E">
        <w:rPr>
          <w:rFonts w:ascii="Arial" w:hAnsi="Arial" w:cs="Arial"/>
          <w:vertAlign w:val="superscript"/>
        </w:rPr>
        <w:t>)</w:t>
      </w:r>
      <w:r w:rsidRPr="00CF495E">
        <w:rPr>
          <w:rFonts w:ascii="Arial" w:hAnsi="Arial" w:cs="Arial"/>
        </w:rPr>
        <w:t xml:space="preserve"> na některých veřejných prostranstvích města.</w:t>
      </w:r>
    </w:p>
    <w:p w14:paraId="594F1C88" w14:textId="77777777" w:rsidR="00982CCC" w:rsidRPr="00B76DAC" w:rsidRDefault="00982CCC" w:rsidP="00B76DAC">
      <w:pPr>
        <w:pStyle w:val="Normlnweb"/>
        <w:numPr>
          <w:ilvl w:val="0"/>
          <w:numId w:val="2"/>
        </w:numPr>
        <w:tabs>
          <w:tab w:val="num" w:pos="405"/>
        </w:tabs>
        <w:spacing w:before="0" w:after="0"/>
        <w:ind w:left="405" w:hanging="405"/>
        <w:jc w:val="both"/>
        <w:rPr>
          <w:rFonts w:ascii="Arial" w:hAnsi="Arial" w:cs="Arial"/>
          <w:bCs/>
        </w:rPr>
      </w:pPr>
      <w:r w:rsidRPr="00B76DAC">
        <w:rPr>
          <w:rFonts w:ascii="Arial" w:hAnsi="Arial" w:cs="Arial"/>
          <w:bCs/>
        </w:rPr>
        <w:t>Konzumace alkoholických nápojů se považuje za činnost, která může narušit veřejný pořádek nebo být v rozporu s dobrými mravy, ochranou bezpečnosti, zdraví a majetku.</w:t>
      </w:r>
    </w:p>
    <w:p w14:paraId="4B06733C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517F98DE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14:paraId="27184ED9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pojmu</w:t>
      </w:r>
    </w:p>
    <w:p w14:paraId="6A959845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</w:p>
    <w:p w14:paraId="07FF8D2D" w14:textId="77777777" w:rsidR="00982CCC" w:rsidRDefault="00982CCC" w:rsidP="00982CCC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>
        <w:rPr>
          <w:rFonts w:ascii="Calibri" w:eastAsia="Calibri" w:hAnsi="Calibri"/>
          <w:vertAlign w:val="superscript"/>
        </w:rPr>
        <w:footnoteReference w:id="2"/>
      </w:r>
      <w:r>
        <w:rPr>
          <w:rFonts w:ascii="Arial" w:eastAsia="Calibri" w:hAnsi="Arial" w:cs="Arial"/>
          <w:sz w:val="24"/>
          <w:szCs w:val="24"/>
          <w:vertAlign w:val="superscript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71D79F5B" w14:textId="77777777" w:rsidR="00982CCC" w:rsidRDefault="00982CCC" w:rsidP="00982CCC">
      <w:pPr>
        <w:ind w:left="720"/>
        <w:contextualSpacing/>
        <w:rPr>
          <w:rFonts w:ascii="Arial" w:hAnsi="Arial" w:cs="Arial"/>
          <w:sz w:val="24"/>
          <w:szCs w:val="24"/>
          <w:lang w:eastAsia="en-US"/>
        </w:rPr>
      </w:pPr>
    </w:p>
    <w:p w14:paraId="7809661C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B9F2A59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3</w:t>
      </w:r>
    </w:p>
    <w:p w14:paraId="44285AA5" w14:textId="77777777" w:rsidR="00982CCC" w:rsidRDefault="00982CCC" w:rsidP="00982CC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Omezení činnosti</w:t>
      </w:r>
    </w:p>
    <w:p w14:paraId="5B2A3C43" w14:textId="77777777" w:rsidR="00982CCC" w:rsidRDefault="00982CCC" w:rsidP="00982CCC">
      <w:pPr>
        <w:ind w:left="720"/>
        <w:contextualSpacing/>
        <w:rPr>
          <w:rFonts w:ascii="Arial" w:hAnsi="Arial" w:cs="Arial"/>
          <w:b/>
          <w:sz w:val="24"/>
          <w:szCs w:val="24"/>
        </w:rPr>
      </w:pPr>
    </w:p>
    <w:p w14:paraId="7E56CBC0" w14:textId="77777777" w:rsidR="00982CCC" w:rsidRDefault="00982CCC" w:rsidP="00982CCC">
      <w:pPr>
        <w:widowControl w:val="0"/>
        <w:autoSpaceDE w:val="0"/>
        <w:autoSpaceDN w:val="0"/>
        <w:jc w:val="both"/>
        <w:rPr>
          <w:rFonts w:ascii="Arial" w:eastAsia="Calibri" w:hAnsi="Arial" w:cs="Arial"/>
          <w:noProof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t>Na území města Mimoň se zakazuje konzumace alkoholických nápojů na veřejných prostranstvích vyjmenovaných v Příloze č. 1, která je nedílnou součástí této vyhlášky.</w:t>
      </w:r>
    </w:p>
    <w:p w14:paraId="62D376CA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65810EE7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14:paraId="2325A6DC" w14:textId="77777777" w:rsidR="00982CCC" w:rsidRDefault="00982CCC" w:rsidP="00982C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Výjimky</w:t>
      </w:r>
    </w:p>
    <w:p w14:paraId="767F11D2" w14:textId="77777777" w:rsidR="00982CCC" w:rsidRDefault="00982CCC" w:rsidP="00982CCC">
      <w:pPr>
        <w:pStyle w:val="NormlnsWWW"/>
        <w:spacing w:before="0" w:after="0"/>
        <w:jc w:val="both"/>
        <w:rPr>
          <w:rFonts w:ascii="Arial" w:hAnsi="Arial" w:cs="Arial"/>
          <w:shd w:val="clear" w:color="auto" w:fill="FFFFFF"/>
        </w:rPr>
      </w:pPr>
    </w:p>
    <w:p w14:paraId="03DBA592" w14:textId="77777777" w:rsidR="00982CCC" w:rsidRPr="00982CCC" w:rsidRDefault="00982CCC" w:rsidP="00982CCC">
      <w:pPr>
        <w:pStyle w:val="Odstavecseseznamem"/>
        <w:numPr>
          <w:ilvl w:val="0"/>
          <w:numId w:val="3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82CCC">
        <w:rPr>
          <w:rFonts w:ascii="Arial" w:hAnsi="Arial" w:cs="Arial"/>
          <w:shd w:val="clear" w:color="auto" w:fill="FFFFFF"/>
        </w:rPr>
        <w:t>Z</w:t>
      </w:r>
      <w:r w:rsidRPr="00982CCC">
        <w:rPr>
          <w:rFonts w:ascii="Arial" w:eastAsia="Calibri" w:hAnsi="Arial" w:cs="Arial"/>
          <w:sz w:val="24"/>
          <w:szCs w:val="24"/>
          <w:lang w:eastAsia="cs-CZ"/>
        </w:rPr>
        <w:t>ákaz stanovený v Čl. 3 této vyhlášky se nevztahuje na prostory zahrádek a předzahrádek umístěných na veřejných prostranstvích u provozoven restaurací, kaváren a cukráren.</w:t>
      </w:r>
    </w:p>
    <w:p w14:paraId="1C6B8452" w14:textId="77777777" w:rsidR="00982CCC" w:rsidRDefault="00982CCC" w:rsidP="00982CCC">
      <w:pPr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63BFECB1" w14:textId="77777777" w:rsidR="00982CCC" w:rsidRPr="00982CCC" w:rsidRDefault="00982CCC" w:rsidP="00982CCC">
      <w:pPr>
        <w:numPr>
          <w:ilvl w:val="0"/>
          <w:numId w:val="3"/>
        </w:numPr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82CCC">
        <w:rPr>
          <w:rFonts w:ascii="Arial" w:eastAsia="Calibri" w:hAnsi="Arial" w:cs="Arial"/>
          <w:sz w:val="24"/>
          <w:szCs w:val="24"/>
        </w:rPr>
        <w:t>Zákaz stanovený v Čl. 3 této vyhlášky se nevztahuje na silvestrovské oslavy, které se konají v noci ze dne 31. prosince na 1. ledna každého roku od 14.00 hodin 31. prosince do 03.00 hodin 1. ledna.</w:t>
      </w:r>
    </w:p>
    <w:p w14:paraId="54E83743" w14:textId="77777777" w:rsidR="00982CCC" w:rsidRDefault="00982CCC" w:rsidP="00982CCC">
      <w:pPr>
        <w:ind w:left="720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14:paraId="6B9CF3EF" w14:textId="3F9A3E15" w:rsidR="00982CCC" w:rsidRPr="00F813AB" w:rsidRDefault="00982CCC" w:rsidP="00E32ABF">
      <w:pPr>
        <w:numPr>
          <w:ilvl w:val="0"/>
          <w:numId w:val="3"/>
        </w:numPr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13AB">
        <w:rPr>
          <w:rFonts w:ascii="Arial" w:eastAsia="Calibri" w:hAnsi="Arial" w:cs="Arial"/>
          <w:sz w:val="24"/>
          <w:szCs w:val="24"/>
        </w:rPr>
        <w:lastRenderedPageBreak/>
        <w:t xml:space="preserve">Zákaz stanovený v Čl. 3 této vyhlášky se nevztahuje na </w:t>
      </w:r>
      <w:r w:rsidR="005D5A31" w:rsidRPr="00F813AB">
        <w:rPr>
          <w:rFonts w:ascii="Arial" w:eastAsia="Calibri" w:hAnsi="Arial" w:cs="Arial"/>
          <w:sz w:val="24"/>
          <w:szCs w:val="24"/>
        </w:rPr>
        <w:t>Masopust</w:t>
      </w:r>
      <w:r w:rsidR="00F813AB" w:rsidRPr="00F813AB">
        <w:rPr>
          <w:rFonts w:ascii="Arial" w:eastAsia="Calibri" w:hAnsi="Arial" w:cs="Arial"/>
          <w:sz w:val="24"/>
          <w:szCs w:val="24"/>
        </w:rPr>
        <w:t xml:space="preserve"> konaný v měsíci únor</w:t>
      </w:r>
      <w:r w:rsidR="005D5A31" w:rsidRPr="00F813AB">
        <w:rPr>
          <w:rFonts w:ascii="Arial" w:eastAsia="Calibri" w:hAnsi="Arial" w:cs="Arial"/>
          <w:sz w:val="24"/>
          <w:szCs w:val="24"/>
        </w:rPr>
        <w:t>, Velikonoce u</w:t>
      </w:r>
      <w:r w:rsidR="00F813AB" w:rsidRPr="00F813AB">
        <w:rPr>
          <w:rFonts w:ascii="Arial" w:eastAsia="Calibri" w:hAnsi="Arial" w:cs="Arial"/>
          <w:sz w:val="24"/>
          <w:szCs w:val="24"/>
        </w:rPr>
        <w:t xml:space="preserve"> městského</w:t>
      </w:r>
      <w:r w:rsidR="005D5A31" w:rsidRPr="00F813AB">
        <w:rPr>
          <w:rFonts w:ascii="Arial" w:eastAsia="Calibri" w:hAnsi="Arial" w:cs="Arial"/>
          <w:sz w:val="24"/>
          <w:szCs w:val="24"/>
        </w:rPr>
        <w:t xml:space="preserve"> muzea,</w:t>
      </w:r>
      <w:r w:rsidR="00770C41">
        <w:rPr>
          <w:rFonts w:ascii="Arial" w:eastAsia="Calibri" w:hAnsi="Arial" w:cs="Arial"/>
          <w:sz w:val="24"/>
          <w:szCs w:val="24"/>
        </w:rPr>
        <w:t xml:space="preserve"> </w:t>
      </w:r>
      <w:r w:rsidR="005D5A31" w:rsidRPr="00F813AB">
        <w:rPr>
          <w:rFonts w:ascii="Arial" w:eastAsia="Calibri" w:hAnsi="Arial" w:cs="Arial"/>
          <w:sz w:val="24"/>
          <w:szCs w:val="24"/>
        </w:rPr>
        <w:t>Zámecká slavnost</w:t>
      </w:r>
      <w:r w:rsidR="00F813AB" w:rsidRPr="00F813AB">
        <w:rPr>
          <w:rFonts w:ascii="Arial" w:eastAsia="Calibri" w:hAnsi="Arial" w:cs="Arial"/>
          <w:sz w:val="24"/>
          <w:szCs w:val="24"/>
        </w:rPr>
        <w:t xml:space="preserve"> v Zámeckém parku</w:t>
      </w:r>
      <w:r w:rsidR="005D5A31" w:rsidRPr="00F813AB">
        <w:rPr>
          <w:rFonts w:ascii="Arial" w:eastAsia="Calibri" w:hAnsi="Arial" w:cs="Arial"/>
          <w:sz w:val="24"/>
          <w:szCs w:val="24"/>
        </w:rPr>
        <w:t>, Muzejní noc, Dny města Mimoň, Mimoňské léto,</w:t>
      </w:r>
      <w:r w:rsidR="00770C41">
        <w:rPr>
          <w:rFonts w:ascii="Arial" w:eastAsia="Calibri" w:hAnsi="Arial" w:cs="Arial"/>
          <w:sz w:val="24"/>
          <w:szCs w:val="24"/>
        </w:rPr>
        <w:t xml:space="preserve"> </w:t>
      </w:r>
      <w:r w:rsidR="005D5A31" w:rsidRPr="00F813AB">
        <w:rPr>
          <w:rFonts w:ascii="Arial" w:eastAsia="Calibri" w:hAnsi="Arial" w:cs="Arial"/>
          <w:sz w:val="24"/>
          <w:szCs w:val="24"/>
        </w:rPr>
        <w:t>Bludičková noc</w:t>
      </w:r>
      <w:r w:rsidR="00F813AB" w:rsidRPr="00F813AB">
        <w:rPr>
          <w:rFonts w:ascii="Arial" w:eastAsia="Calibri" w:hAnsi="Arial" w:cs="Arial"/>
          <w:sz w:val="24"/>
          <w:szCs w:val="24"/>
        </w:rPr>
        <w:t xml:space="preserve"> v Zámeckém parku</w:t>
      </w:r>
      <w:r w:rsidR="005D5A31" w:rsidRPr="00F813AB">
        <w:rPr>
          <w:rFonts w:ascii="Arial" w:eastAsia="Calibri" w:hAnsi="Arial" w:cs="Arial"/>
          <w:sz w:val="24"/>
          <w:szCs w:val="24"/>
        </w:rPr>
        <w:t>, Rozsvěcení vánočního stromu</w:t>
      </w:r>
      <w:r w:rsidR="00F813AB" w:rsidRPr="00F813AB">
        <w:rPr>
          <w:rFonts w:ascii="Arial" w:eastAsia="Calibri" w:hAnsi="Arial" w:cs="Arial"/>
          <w:sz w:val="24"/>
          <w:szCs w:val="24"/>
        </w:rPr>
        <w:t xml:space="preserve"> na Náměstí 1. Máje</w:t>
      </w:r>
      <w:r w:rsidR="00E83FCD" w:rsidRPr="00F813AB">
        <w:rPr>
          <w:rFonts w:ascii="Arial" w:eastAsia="Calibri" w:hAnsi="Arial" w:cs="Arial"/>
          <w:sz w:val="24"/>
          <w:szCs w:val="24"/>
        </w:rPr>
        <w:t xml:space="preserve">. </w:t>
      </w:r>
      <w:r w:rsidRPr="00F813AB">
        <w:rPr>
          <w:rFonts w:ascii="Arial" w:eastAsia="Calibri" w:hAnsi="Arial" w:cs="Arial"/>
          <w:sz w:val="24"/>
          <w:szCs w:val="24"/>
        </w:rPr>
        <w:t xml:space="preserve"> </w:t>
      </w:r>
    </w:p>
    <w:p w14:paraId="7F46F58E" w14:textId="77777777" w:rsidR="00982CCC" w:rsidRDefault="00982CCC" w:rsidP="00982CCC">
      <w:pPr>
        <w:ind w:left="360"/>
        <w:contextualSpacing/>
        <w:jc w:val="both"/>
        <w:rPr>
          <w:rFonts w:ascii="Arial" w:eastAsia="Calibri" w:hAnsi="Arial" w:cs="Arial"/>
          <w:i/>
          <w:color w:val="FF0000"/>
          <w:sz w:val="24"/>
          <w:szCs w:val="24"/>
        </w:rPr>
      </w:pPr>
    </w:p>
    <w:p w14:paraId="604751C7" w14:textId="77777777" w:rsidR="00982CCC" w:rsidRDefault="00982CCC" w:rsidP="00982CCC">
      <w:pPr>
        <w:pStyle w:val="NormlnsWWW"/>
        <w:spacing w:before="0" w:after="0"/>
        <w:jc w:val="both"/>
        <w:rPr>
          <w:rFonts w:ascii="Arial" w:hAnsi="Arial" w:cs="Arial"/>
          <w:b/>
        </w:rPr>
      </w:pPr>
    </w:p>
    <w:p w14:paraId="2B192F9D" w14:textId="77777777" w:rsidR="009B7B90" w:rsidRPr="00CF495E" w:rsidRDefault="009B7B90" w:rsidP="009B7B90">
      <w:pPr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Článek 5</w:t>
      </w:r>
    </w:p>
    <w:p w14:paraId="0044583B" w14:textId="77777777" w:rsidR="009B7B90" w:rsidRPr="00CF495E" w:rsidRDefault="009B7B90" w:rsidP="009B7B90">
      <w:pPr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Zrušovací ustanovení</w:t>
      </w:r>
    </w:p>
    <w:p w14:paraId="58F979C4" w14:textId="77777777" w:rsidR="009B7B90" w:rsidRPr="00CF495E" w:rsidRDefault="009B7B90" w:rsidP="009B7B90">
      <w:pPr>
        <w:jc w:val="center"/>
        <w:rPr>
          <w:rFonts w:ascii="Arial" w:hAnsi="Arial" w:cs="Arial"/>
          <w:sz w:val="24"/>
          <w:szCs w:val="24"/>
        </w:rPr>
      </w:pPr>
    </w:p>
    <w:p w14:paraId="75C14618" w14:textId="77777777" w:rsidR="009B7B90" w:rsidRPr="00CF495E" w:rsidRDefault="009B7B90" w:rsidP="009B7B90">
      <w:pPr>
        <w:jc w:val="both"/>
        <w:rPr>
          <w:rFonts w:ascii="Arial" w:hAnsi="Arial" w:cs="Arial"/>
          <w:sz w:val="24"/>
          <w:szCs w:val="24"/>
        </w:rPr>
      </w:pPr>
      <w:r w:rsidRPr="00CF495E">
        <w:rPr>
          <w:rFonts w:ascii="Arial" w:hAnsi="Arial" w:cs="Arial"/>
          <w:sz w:val="24"/>
          <w:szCs w:val="24"/>
        </w:rPr>
        <w:t>Zrušuje se obecně závazná vyhláška č. 6/2015, o zákazu požívání alkoholických nápojů na veřejných prostranstvích, ze dne 25. 6. 2015.</w:t>
      </w:r>
    </w:p>
    <w:p w14:paraId="12AAF28B" w14:textId="77777777" w:rsidR="009B7B90" w:rsidRPr="00CF495E" w:rsidRDefault="009B7B90" w:rsidP="00982CCC">
      <w:pPr>
        <w:pStyle w:val="NormlnsWWW"/>
        <w:spacing w:before="0" w:after="0"/>
        <w:jc w:val="both"/>
        <w:rPr>
          <w:rFonts w:ascii="Arial" w:hAnsi="Arial" w:cs="Arial"/>
          <w:b/>
        </w:rPr>
      </w:pPr>
    </w:p>
    <w:p w14:paraId="432780A8" w14:textId="77777777" w:rsidR="000336E4" w:rsidRPr="00CF495E" w:rsidRDefault="000336E4" w:rsidP="00982CCC">
      <w:pPr>
        <w:pStyle w:val="NormlnsWWW"/>
        <w:spacing w:before="0" w:after="0"/>
        <w:jc w:val="both"/>
        <w:rPr>
          <w:rFonts w:ascii="Arial" w:hAnsi="Arial" w:cs="Arial"/>
          <w:b/>
        </w:rPr>
      </w:pPr>
    </w:p>
    <w:p w14:paraId="5D7F95C8" w14:textId="77777777" w:rsidR="00982CCC" w:rsidRPr="00CF495E" w:rsidRDefault="00982CCC" w:rsidP="00982CCC">
      <w:pPr>
        <w:jc w:val="center"/>
        <w:rPr>
          <w:rFonts w:ascii="Arial" w:hAnsi="Arial" w:cs="Arial"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 xml:space="preserve">Čl. </w:t>
      </w:r>
      <w:r w:rsidR="009B7B90" w:rsidRPr="00CF495E">
        <w:rPr>
          <w:rFonts w:ascii="Arial" w:hAnsi="Arial" w:cs="Arial"/>
          <w:b/>
          <w:sz w:val="24"/>
          <w:szCs w:val="24"/>
        </w:rPr>
        <w:t>6</w:t>
      </w:r>
    </w:p>
    <w:p w14:paraId="02A1F0F4" w14:textId="77777777" w:rsidR="00982CCC" w:rsidRDefault="009B7B90" w:rsidP="00982CCC">
      <w:pPr>
        <w:jc w:val="center"/>
        <w:rPr>
          <w:rFonts w:ascii="Arial" w:hAnsi="Arial" w:cs="Arial"/>
          <w:b/>
          <w:sz w:val="24"/>
          <w:szCs w:val="24"/>
        </w:rPr>
      </w:pPr>
      <w:r w:rsidRPr="00CF495E">
        <w:rPr>
          <w:rFonts w:ascii="Arial" w:hAnsi="Arial" w:cs="Arial"/>
          <w:b/>
          <w:sz w:val="24"/>
          <w:szCs w:val="24"/>
        </w:rPr>
        <w:t>Účinnost</w:t>
      </w:r>
    </w:p>
    <w:p w14:paraId="19A56535" w14:textId="77777777" w:rsidR="000336E4" w:rsidRDefault="000336E4" w:rsidP="000336E4">
      <w:pPr>
        <w:jc w:val="both"/>
        <w:rPr>
          <w:rFonts w:ascii="Arial" w:hAnsi="Arial" w:cs="Arial"/>
          <w:b/>
          <w:sz w:val="24"/>
          <w:szCs w:val="24"/>
        </w:rPr>
      </w:pPr>
    </w:p>
    <w:p w14:paraId="79286E4E" w14:textId="77777777" w:rsidR="00982CCC" w:rsidRPr="000336E4" w:rsidRDefault="000336E4" w:rsidP="000336E4">
      <w:pPr>
        <w:jc w:val="both"/>
        <w:rPr>
          <w:rFonts w:ascii="Arial" w:hAnsi="Arial" w:cs="Arial"/>
          <w:sz w:val="24"/>
          <w:szCs w:val="22"/>
        </w:rPr>
      </w:pPr>
      <w:r w:rsidRPr="000336E4">
        <w:rPr>
          <w:rFonts w:ascii="Arial" w:hAnsi="Arial" w:cs="Arial"/>
          <w:sz w:val="24"/>
          <w:szCs w:val="22"/>
        </w:rPr>
        <w:t>Tato obecně závazná vyhláška nabývá účinnosti počátkem patnáctého dne následujícího po dni jejího vyhlášení</w:t>
      </w:r>
      <w:r w:rsidR="00982CCC" w:rsidRPr="000336E4">
        <w:rPr>
          <w:rFonts w:ascii="Arial" w:hAnsi="Arial" w:cs="Arial"/>
          <w:bCs/>
          <w:sz w:val="22"/>
          <w:szCs w:val="24"/>
        </w:rPr>
        <w:t>.</w:t>
      </w:r>
    </w:p>
    <w:p w14:paraId="1F1CA531" w14:textId="77777777" w:rsidR="00982CCC" w:rsidRDefault="00982CCC" w:rsidP="00982CCC">
      <w:pPr>
        <w:pStyle w:val="Seznamoslovan"/>
        <w:numPr>
          <w:ilvl w:val="0"/>
          <w:numId w:val="0"/>
        </w:numPr>
        <w:tabs>
          <w:tab w:val="left" w:pos="708"/>
        </w:tabs>
        <w:spacing w:after="0"/>
        <w:ind w:left="425"/>
        <w:rPr>
          <w:rFonts w:ascii="Arial" w:hAnsi="Arial" w:cs="Arial"/>
          <w:bCs/>
          <w:szCs w:val="24"/>
          <w:lang w:eastAsia="cs-CZ"/>
        </w:rPr>
      </w:pPr>
    </w:p>
    <w:p w14:paraId="28FA1036" w14:textId="77777777" w:rsidR="00982CCC" w:rsidRDefault="00982CCC" w:rsidP="00982CCC">
      <w:pPr>
        <w:pStyle w:val="Seznamoslovan"/>
        <w:numPr>
          <w:ilvl w:val="0"/>
          <w:numId w:val="0"/>
        </w:numPr>
        <w:tabs>
          <w:tab w:val="left" w:pos="708"/>
        </w:tabs>
        <w:spacing w:after="0"/>
        <w:ind w:left="425"/>
        <w:rPr>
          <w:rFonts w:ascii="Arial" w:hAnsi="Arial" w:cs="Arial"/>
        </w:rPr>
      </w:pPr>
    </w:p>
    <w:p w14:paraId="1C4C9F11" w14:textId="77777777" w:rsidR="00982CCC" w:rsidRDefault="00982CCC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427F1289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FF6F6ED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606B9DD0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1B922BDA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51A90444" w14:textId="77777777" w:rsidR="000336E4" w:rsidRDefault="000336E4" w:rsidP="00982CCC">
      <w:pPr>
        <w:ind w:left="720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2B329B7F" w14:textId="77777777" w:rsidR="00B76DAC" w:rsidRPr="00B76DAC" w:rsidRDefault="00B76DAC" w:rsidP="00B76DAC">
      <w:pPr>
        <w:rPr>
          <w:rFonts w:ascii="Arial" w:hAnsi="Arial" w:cs="Arial"/>
          <w:sz w:val="24"/>
          <w:szCs w:val="24"/>
        </w:rPr>
      </w:pPr>
      <w:r w:rsidRPr="00B76DAC">
        <w:rPr>
          <w:rFonts w:ascii="Arial" w:hAnsi="Arial" w:cs="Arial"/>
          <w:sz w:val="24"/>
          <w:szCs w:val="24"/>
        </w:rPr>
        <w:t>Jaroslava Bizoňová</w:t>
      </w:r>
      <w:r w:rsidRPr="00B76DAC">
        <w:rPr>
          <w:rFonts w:ascii="Arial" w:hAnsi="Arial" w:cs="Arial"/>
          <w:sz w:val="24"/>
          <w:szCs w:val="24"/>
        </w:rPr>
        <w:tab/>
      </w:r>
      <w:r w:rsidRPr="00B76D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76DAC">
        <w:rPr>
          <w:rFonts w:ascii="Arial" w:hAnsi="Arial" w:cs="Arial"/>
          <w:sz w:val="24"/>
          <w:szCs w:val="24"/>
        </w:rPr>
        <w:t>Petr Král</w:t>
      </w:r>
    </w:p>
    <w:p w14:paraId="4F8432EC" w14:textId="77777777" w:rsidR="00982CCC" w:rsidRDefault="00B76DAC" w:rsidP="00B76DAC">
      <w:pPr>
        <w:rPr>
          <w:rFonts w:ascii="Arial" w:hAnsi="Arial" w:cs="Arial"/>
          <w:sz w:val="24"/>
          <w:szCs w:val="24"/>
        </w:rPr>
      </w:pPr>
      <w:r w:rsidRPr="00B76DAC">
        <w:rPr>
          <w:rFonts w:ascii="Arial" w:hAnsi="Arial" w:cs="Arial"/>
          <w:sz w:val="24"/>
          <w:szCs w:val="24"/>
        </w:rPr>
        <w:t>místostarostka</w:t>
      </w:r>
      <w:r w:rsidRPr="00B76DAC">
        <w:rPr>
          <w:rFonts w:ascii="Arial" w:hAnsi="Arial" w:cs="Arial"/>
          <w:sz w:val="24"/>
          <w:szCs w:val="24"/>
        </w:rPr>
        <w:tab/>
      </w:r>
      <w:r w:rsidRPr="00B76DA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76DAC">
        <w:rPr>
          <w:rFonts w:ascii="Arial" w:hAnsi="Arial" w:cs="Arial"/>
          <w:sz w:val="24"/>
          <w:szCs w:val="24"/>
        </w:rPr>
        <w:t xml:space="preserve">starosta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82CCC" w14:paraId="15D3A5C2" w14:textId="77777777" w:rsidTr="00EF35E9">
        <w:tc>
          <w:tcPr>
            <w:tcW w:w="4605" w:type="dxa"/>
          </w:tcPr>
          <w:p w14:paraId="1DA27522" w14:textId="77777777" w:rsidR="00982CCC" w:rsidRDefault="00982CC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7C745451" w14:textId="77777777" w:rsidR="00982CCC" w:rsidRDefault="00982CC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82CCC" w14:paraId="5E11489B" w14:textId="77777777" w:rsidTr="00B76DAC">
        <w:tc>
          <w:tcPr>
            <w:tcW w:w="4605" w:type="dxa"/>
          </w:tcPr>
          <w:p w14:paraId="738AC08A" w14:textId="77777777" w:rsidR="00982CCC" w:rsidRDefault="00982CC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2D096FC3" w14:textId="77777777" w:rsidR="00982CCC" w:rsidRDefault="00982CC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581B480F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29A85AEA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3AB49953" w14:textId="77777777" w:rsidR="0027122D" w:rsidRDefault="0027122D" w:rsidP="00982CCC">
      <w:pPr>
        <w:rPr>
          <w:rFonts w:ascii="Arial" w:hAnsi="Arial" w:cs="Arial"/>
          <w:sz w:val="24"/>
          <w:szCs w:val="24"/>
        </w:rPr>
      </w:pPr>
    </w:p>
    <w:p w14:paraId="3D6AE895" w14:textId="77777777" w:rsidR="0027122D" w:rsidRDefault="0027122D" w:rsidP="00982CCC">
      <w:pPr>
        <w:rPr>
          <w:rFonts w:ascii="Arial" w:hAnsi="Arial" w:cs="Arial"/>
          <w:sz w:val="24"/>
          <w:szCs w:val="24"/>
        </w:rPr>
      </w:pPr>
    </w:p>
    <w:p w14:paraId="49697764" w14:textId="77777777" w:rsidR="00982CCC" w:rsidRDefault="00982CCC" w:rsidP="00982CCC">
      <w:pPr>
        <w:rPr>
          <w:rFonts w:ascii="Arial" w:hAnsi="Arial" w:cs="Arial"/>
          <w:sz w:val="24"/>
          <w:szCs w:val="24"/>
        </w:rPr>
      </w:pPr>
    </w:p>
    <w:p w14:paraId="6E161A4E" w14:textId="77777777" w:rsidR="00982CCC" w:rsidRDefault="00982CC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60FC2083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3783D4C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76D4622D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4CC742D2" w14:textId="77777777" w:rsidR="00B76DAC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p w14:paraId="135B507A" w14:textId="77777777" w:rsidR="000336E4" w:rsidRDefault="000336E4">
      <w:pPr>
        <w:spacing w:after="200" w:line="276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br w:type="page"/>
      </w:r>
    </w:p>
    <w:p w14:paraId="568F880A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Příloha č. 1</w:t>
      </w:r>
    </w:p>
    <w:p w14:paraId="5B62D421" w14:textId="77777777" w:rsidR="00B76DAC" w:rsidRPr="00D128B0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závazné vyhlášky</w:t>
      </w:r>
    </w:p>
    <w:p w14:paraId="7970D06C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Vymezení veřejných prostranství, na která se vztahuje zákaz konzumace alkoholických nápojů:</w:t>
      </w:r>
    </w:p>
    <w:p w14:paraId="77F8C8A6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</w:p>
    <w:p w14:paraId="2DE32C2E" w14:textId="77777777" w:rsidR="00B76DAC" w:rsidRPr="00D128B0" w:rsidRDefault="00B76DAC" w:rsidP="00B76DAC">
      <w:pPr>
        <w:spacing w:after="120"/>
        <w:ind w:left="284" w:hanging="284"/>
        <w:jc w:val="both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ab/>
      </w:r>
      <w:r w:rsidRPr="00D128B0">
        <w:rPr>
          <w:rFonts w:ascii="Arial" w:eastAsia="Calibri" w:hAnsi="Arial" w:cs="Arial"/>
          <w:b/>
          <w:noProof/>
          <w:sz w:val="24"/>
          <w:szCs w:val="24"/>
        </w:rPr>
        <w:t>Vymezení veřejných prostranství, na která se vztahuje zákaz konzumace alkoholických nápojů:</w:t>
      </w:r>
    </w:p>
    <w:p w14:paraId="7F22B560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</w:p>
    <w:p w14:paraId="71952DD1" w14:textId="77777777" w:rsidR="00B76DAC" w:rsidRDefault="00B76DAC" w:rsidP="00B76DA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79"/>
        <w:tblW w:w="98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8"/>
        <w:gridCol w:w="3969"/>
        <w:gridCol w:w="1559"/>
        <w:gridCol w:w="3119"/>
      </w:tblGrid>
      <w:tr w:rsidR="00B76DAC" w14:paraId="488FA0A3" w14:textId="77777777" w:rsidTr="0041277D">
        <w:trPr>
          <w:trHeight w:val="93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9434" w14:textId="77777777" w:rsidR="00B76DAC" w:rsidRPr="00B76DAC" w:rsidRDefault="00B76DAC" w:rsidP="00B76DAC">
            <w:pPr>
              <w:pStyle w:val="Seznamoslovan"/>
              <w:numPr>
                <w:ilvl w:val="0"/>
                <w:numId w:val="0"/>
              </w:numPr>
              <w:tabs>
                <w:tab w:val="left" w:pos="2145"/>
              </w:tabs>
              <w:ind w:left="425" w:hanging="424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Lokalita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4A4E" w14:textId="77777777" w:rsidR="00B76DAC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Název lokality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941D" w14:textId="77777777" w:rsidR="00B76DAC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Katastrální</w:t>
            </w:r>
          </w:p>
          <w:p w14:paraId="185AFE2B" w14:textId="77777777" w:rsidR="00B76DAC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území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518" w14:textId="77777777" w:rsidR="00B76DAC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Dotčené pozemkové parcely</w:t>
            </w:r>
          </w:p>
          <w:p w14:paraId="1B5FE2E1" w14:textId="5980D46B" w:rsidR="00B76DAC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B76DAC" w:rsidRPr="00D128B0" w14:paraId="74A454C0" w14:textId="77777777" w:rsidTr="0041277D">
        <w:trPr>
          <w:trHeight w:val="55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7152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240A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 xml:space="preserve">Na náměstí 1.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D128B0">
              <w:rPr>
                <w:rFonts w:ascii="Arial" w:hAnsi="Arial" w:cs="Arial"/>
                <w:sz w:val="24"/>
                <w:szCs w:val="24"/>
              </w:rPr>
              <w:t>áje a v ulici Mírová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77E2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1AA8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1045, 1057, 250, 294, 200/1</w:t>
            </w:r>
          </w:p>
        </w:tc>
      </w:tr>
      <w:tr w:rsidR="00B76DAC" w:rsidRPr="00D128B0" w14:paraId="1453E5DA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5305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C334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Na Tyršově náměstí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7A4D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E910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 xml:space="preserve">2150/1, 2140/7, 3307/18, 3311/1, 3312, 3326/1, 3167/1, 3312, 3167/2, 3326/4, </w:t>
            </w:r>
          </w:p>
        </w:tc>
      </w:tr>
      <w:tr w:rsidR="00B76DAC" w:rsidRPr="00D128B0" w14:paraId="1020BFE1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A45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FD3E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 xml:space="preserve">Na náměstí ČSL.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D128B0">
              <w:rPr>
                <w:rFonts w:ascii="Arial" w:hAnsi="Arial" w:cs="Arial"/>
                <w:sz w:val="24"/>
                <w:szCs w:val="24"/>
              </w:rPr>
              <w:t>rmády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2E2E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81E2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200/4-6, 330/1, 347/2, 386, 390/1-4, 400/1-2, 500/1-6, 554, 560</w:t>
            </w:r>
          </w:p>
        </w:tc>
      </w:tr>
      <w:tr w:rsidR="00B76DAC" w:rsidRPr="00D128B0" w14:paraId="32989582" w14:textId="77777777" w:rsidTr="0041277D">
        <w:trPr>
          <w:trHeight w:val="59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C91E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6E73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V parku mezi P</w:t>
            </w:r>
            <w:r>
              <w:rPr>
                <w:rFonts w:ascii="Arial" w:hAnsi="Arial" w:cs="Arial"/>
                <w:sz w:val="24"/>
                <w:szCs w:val="24"/>
              </w:rPr>
              <w:t>anenským potokem</w:t>
            </w:r>
            <w:r w:rsidRPr="00D128B0">
              <w:rPr>
                <w:rFonts w:ascii="Arial" w:hAnsi="Arial" w:cs="Arial"/>
                <w:sz w:val="24"/>
                <w:szCs w:val="24"/>
              </w:rPr>
              <w:t xml:space="preserve"> a ulicí V Lukách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F07F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ECE2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1390, 1396</w:t>
            </w:r>
            <w:r>
              <w:rPr>
                <w:rFonts w:ascii="Arial" w:hAnsi="Arial" w:cs="Arial"/>
                <w:sz w:val="22"/>
                <w:szCs w:val="22"/>
              </w:rPr>
              <w:t>, 1380/65</w:t>
            </w:r>
          </w:p>
        </w:tc>
      </w:tr>
      <w:tr w:rsidR="00B76DAC" w:rsidRPr="00D128B0" w14:paraId="62083492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7C5D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B0FC" w14:textId="5F1D953D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Před a za obchodními domy</w:t>
            </w:r>
            <w:r w:rsidR="00913CC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128B0">
              <w:rPr>
                <w:rFonts w:ascii="Arial" w:hAnsi="Arial" w:cs="Arial"/>
                <w:sz w:val="24"/>
                <w:szCs w:val="24"/>
              </w:rPr>
              <w:t>na parkovištích a přístupových komunikacích a veřejné zeleni, mezi Husovou ulicí a Ploučnicí, mezi Tyršovým náměstím a Poštovním mostem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8C09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2F6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 xml:space="preserve">2099, 2140/3, 2140/4, 2140/5, 2140/6, 2140/7, </w:t>
            </w:r>
            <w:r>
              <w:rPr>
                <w:rFonts w:ascii="Arial" w:hAnsi="Arial" w:cs="Arial"/>
                <w:sz w:val="22"/>
                <w:szCs w:val="22"/>
              </w:rPr>
              <w:t xml:space="preserve">3301, </w:t>
            </w:r>
            <w:r w:rsidRPr="00281D86">
              <w:rPr>
                <w:rFonts w:ascii="Arial" w:hAnsi="Arial" w:cs="Arial"/>
                <w:sz w:val="22"/>
                <w:szCs w:val="22"/>
              </w:rPr>
              <w:t xml:space="preserve">3302, 3304/1, 3305/1, 3305/10, 3305/11, 3305/12, 3305/13, 3305/17, 3305/18, 3305/19, 3305/20, 3305/21, </w:t>
            </w:r>
            <w:r>
              <w:rPr>
                <w:rFonts w:ascii="Arial" w:hAnsi="Arial" w:cs="Arial"/>
                <w:sz w:val="22"/>
                <w:szCs w:val="22"/>
              </w:rPr>
              <w:t xml:space="preserve">3306/1, </w:t>
            </w:r>
            <w:r w:rsidRPr="00281D86">
              <w:rPr>
                <w:rFonts w:ascii="Arial" w:hAnsi="Arial" w:cs="Arial"/>
                <w:sz w:val="22"/>
                <w:szCs w:val="22"/>
              </w:rPr>
              <w:t>3306/2, 3306/5, 3307/1,3307/6, 3307/7, 3307/8, 3307/9, 3307/10</w:t>
            </w:r>
            <w:r>
              <w:rPr>
                <w:rFonts w:ascii="Arial" w:hAnsi="Arial" w:cs="Arial"/>
                <w:sz w:val="22"/>
                <w:szCs w:val="22"/>
              </w:rPr>
              <w:t xml:space="preserve">, 3307/11, 3307/12, 3307/13, 3307/14, 3307/15, 3307/16, 3307/18, 3307/22, 3307/23, 3307/24, 3307/25, 3307/26, 3307/27, 3307/28, 3308, 3309/3, 3309/8, 3309/10, 3309/13, 3309/14, 3309/15, 3309/17, </w:t>
            </w:r>
          </w:p>
        </w:tc>
      </w:tr>
      <w:tr w:rsidR="00B76DAC" w:rsidRPr="00D128B0" w14:paraId="1238B5EF" w14:textId="77777777" w:rsidTr="0041277D">
        <w:trPr>
          <w:trHeight w:val="781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B2F5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4CBF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Před městskou knihovnou v ulici Svébořická a Sluneční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362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D427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2860, 2880, 2895, 2180</w:t>
            </w:r>
          </w:p>
        </w:tc>
      </w:tr>
      <w:tr w:rsidR="00B76DAC" w:rsidRPr="00D128B0" w14:paraId="507BA9F3" w14:textId="77777777" w:rsidTr="0041277D">
        <w:trPr>
          <w:trHeight w:val="42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5C88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7a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848D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V autobusových zastávkách a čekárnách pro výstup a nástup – ul. Žitavská, Malá, Pražská,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28B0">
              <w:rPr>
                <w:rFonts w:ascii="Arial" w:hAnsi="Arial" w:cs="Arial"/>
                <w:sz w:val="24"/>
                <w:szCs w:val="24"/>
              </w:rPr>
              <w:t xml:space="preserve">Nádražní, </w:t>
            </w:r>
            <w:r>
              <w:rPr>
                <w:rFonts w:ascii="Arial" w:hAnsi="Arial" w:cs="Arial"/>
                <w:sz w:val="24"/>
                <w:szCs w:val="24"/>
              </w:rPr>
              <w:t xml:space="preserve">nám. </w:t>
            </w:r>
            <w:r w:rsidRPr="00D128B0">
              <w:rPr>
                <w:rFonts w:ascii="Arial" w:hAnsi="Arial" w:cs="Arial"/>
                <w:sz w:val="24"/>
                <w:szCs w:val="24"/>
              </w:rPr>
              <w:t>ČSL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D128B0">
              <w:rPr>
                <w:rFonts w:ascii="Arial" w:hAnsi="Arial" w:cs="Arial"/>
                <w:sz w:val="24"/>
                <w:szCs w:val="24"/>
              </w:rPr>
              <w:t xml:space="preserve"> armády a </w:t>
            </w:r>
            <w:r>
              <w:rPr>
                <w:rFonts w:ascii="Arial" w:hAnsi="Arial" w:cs="Arial"/>
                <w:sz w:val="24"/>
                <w:szCs w:val="24"/>
              </w:rPr>
              <w:t xml:space="preserve">autobusové nádraží v ulici </w:t>
            </w:r>
            <w:r w:rsidRPr="00D128B0">
              <w:rPr>
                <w:rFonts w:ascii="Arial" w:hAnsi="Arial" w:cs="Arial"/>
                <w:sz w:val="24"/>
                <w:szCs w:val="24"/>
              </w:rPr>
              <w:t>Českolipská.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0970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 xml:space="preserve">Mimoň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DCF6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 xml:space="preserve">1339/2, 4689, </w:t>
            </w:r>
            <w:r>
              <w:rPr>
                <w:rFonts w:ascii="Arial" w:hAnsi="Arial" w:cs="Arial"/>
                <w:sz w:val="22"/>
                <w:szCs w:val="22"/>
              </w:rPr>
              <w:t xml:space="preserve">1581/3, </w:t>
            </w:r>
            <w:r w:rsidRPr="00281D86">
              <w:rPr>
                <w:rFonts w:ascii="Arial" w:hAnsi="Arial" w:cs="Arial"/>
                <w:sz w:val="22"/>
                <w:szCs w:val="22"/>
              </w:rPr>
              <w:t>3405/</w:t>
            </w:r>
            <w:r>
              <w:rPr>
                <w:rFonts w:ascii="Arial" w:hAnsi="Arial" w:cs="Arial"/>
                <w:sz w:val="22"/>
                <w:szCs w:val="22"/>
              </w:rPr>
              <w:t>4, 3300/4</w:t>
            </w:r>
            <w:r w:rsidRPr="00281D8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3300/14, </w:t>
            </w:r>
            <w:r w:rsidRPr="00281D86">
              <w:rPr>
                <w:rFonts w:ascii="Arial" w:hAnsi="Arial" w:cs="Arial"/>
                <w:sz w:val="22"/>
                <w:szCs w:val="22"/>
              </w:rPr>
              <w:t>3230/1, 760, 500/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81D86">
              <w:rPr>
                <w:rFonts w:ascii="Arial" w:hAnsi="Arial" w:cs="Arial"/>
                <w:sz w:val="22"/>
                <w:szCs w:val="22"/>
              </w:rPr>
              <w:t>, 1123</w:t>
            </w:r>
          </w:p>
        </w:tc>
      </w:tr>
      <w:tr w:rsidR="00B76DAC" w:rsidRPr="00D128B0" w14:paraId="02A67EA8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AE4A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7b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0CA5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V autobusové zastávce a čekárně pro výstup a nástup ve Vranově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05E3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Vranov pod Ralskem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972D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116/1</w:t>
            </w:r>
          </w:p>
        </w:tc>
      </w:tr>
      <w:tr w:rsidR="00B76DAC" w:rsidRPr="00D128B0" w14:paraId="0C3AD191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9653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B6D7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Na volně přístupných prostranstvích před vlakovým nádražím – parkoviště a park v ulici Nádražní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0191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D8A4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720, 760</w:t>
            </w:r>
          </w:p>
        </w:tc>
      </w:tr>
      <w:tr w:rsidR="00B76DAC" w:rsidRPr="00D128B0" w14:paraId="441676C4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4DD0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0FDD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V zámeckém parku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48F5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B745" w14:textId="77777777" w:rsidR="00B76DAC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 xml:space="preserve">2090, 2091, </w:t>
            </w:r>
            <w:r>
              <w:rPr>
                <w:rFonts w:ascii="Arial" w:hAnsi="Arial" w:cs="Arial"/>
                <w:sz w:val="22"/>
                <w:szCs w:val="22"/>
              </w:rPr>
              <w:t>2268, 2275</w:t>
            </w:r>
          </w:p>
          <w:p w14:paraId="183BAADC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76DAC" w:rsidRPr="00D128B0" w14:paraId="79B8CFBC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0390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744B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Před kostelem Petra a Pavla a v jeho okolí – veřejná zeleň, přístupové cesty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37F0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218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594, 595, 600, 564/1</w:t>
            </w:r>
          </w:p>
        </w:tc>
      </w:tr>
      <w:tr w:rsidR="00B76DAC" w:rsidRPr="00D128B0" w14:paraId="1CE911EC" w14:textId="77777777" w:rsidTr="0041277D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6A84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1050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 Božím hrobem a Městským muzeem</w:t>
            </w:r>
            <w:r w:rsidRPr="00D128B0">
              <w:rPr>
                <w:rFonts w:ascii="Arial" w:hAnsi="Arial" w:cs="Arial"/>
                <w:sz w:val="24"/>
                <w:szCs w:val="24"/>
              </w:rPr>
              <w:t xml:space="preserve"> a okolí – veřejná zeleň, přístupové cesty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960A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FAB1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>1390, 1478, 1482</w:t>
            </w:r>
            <w:r>
              <w:rPr>
                <w:rFonts w:ascii="Arial" w:hAnsi="Arial" w:cs="Arial"/>
                <w:sz w:val="22"/>
                <w:szCs w:val="22"/>
              </w:rPr>
              <w:t>, 1476/1, 1476/2</w:t>
            </w:r>
          </w:p>
        </w:tc>
      </w:tr>
      <w:tr w:rsidR="00B76DAC" w:rsidRPr="00D128B0" w14:paraId="7EC56E8F" w14:textId="77777777" w:rsidTr="0041277D">
        <w:trPr>
          <w:trHeight w:val="1616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585C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A228" w14:textId="77777777" w:rsidR="00B76DAC" w:rsidRPr="00D128B0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Před školskými zařízeními – veřejná zeleň, přístupové cesty (</w:t>
            </w:r>
            <w:r>
              <w:rPr>
                <w:rFonts w:ascii="Arial" w:hAnsi="Arial" w:cs="Arial"/>
                <w:sz w:val="24"/>
                <w:szCs w:val="24"/>
              </w:rPr>
              <w:t xml:space="preserve">Gymnázium, </w:t>
            </w:r>
            <w:r w:rsidRPr="00D128B0">
              <w:rPr>
                <w:rFonts w:ascii="Arial" w:hAnsi="Arial" w:cs="Arial"/>
                <w:sz w:val="24"/>
                <w:szCs w:val="24"/>
              </w:rPr>
              <w:t>Základní školy – Pod Ralskem,</w:t>
            </w:r>
            <w:r>
              <w:rPr>
                <w:rFonts w:ascii="Arial" w:hAnsi="Arial" w:cs="Arial"/>
                <w:sz w:val="24"/>
                <w:szCs w:val="24"/>
              </w:rPr>
              <w:t xml:space="preserve"> Komenského, </w:t>
            </w:r>
            <w:r w:rsidRPr="00D128B0">
              <w:rPr>
                <w:rFonts w:ascii="Arial" w:hAnsi="Arial" w:cs="Arial"/>
                <w:sz w:val="24"/>
                <w:szCs w:val="24"/>
              </w:rPr>
              <w:t xml:space="preserve">Mírová, </w:t>
            </w:r>
            <w:r>
              <w:rPr>
                <w:rFonts w:ascii="Arial" w:hAnsi="Arial" w:cs="Arial"/>
                <w:sz w:val="24"/>
                <w:szCs w:val="24"/>
              </w:rPr>
              <w:t>Mateřské školy</w:t>
            </w:r>
            <w:r w:rsidRPr="00D128B0">
              <w:rPr>
                <w:rFonts w:ascii="Arial" w:hAnsi="Arial" w:cs="Arial"/>
                <w:sz w:val="24"/>
                <w:szCs w:val="24"/>
              </w:rPr>
              <w:t xml:space="preserve"> - Eliášova, </w:t>
            </w:r>
            <w:r>
              <w:rPr>
                <w:rFonts w:ascii="Arial" w:hAnsi="Arial" w:cs="Arial"/>
                <w:sz w:val="24"/>
                <w:szCs w:val="24"/>
              </w:rPr>
              <w:t>Letná</w:t>
            </w:r>
            <w:r w:rsidRPr="00D128B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9F1E" w14:textId="77777777" w:rsidR="00B76DAC" w:rsidRPr="00D128B0" w:rsidRDefault="00B76DAC" w:rsidP="0041277D">
            <w:pPr>
              <w:tabs>
                <w:tab w:val="left" w:pos="2145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128B0">
              <w:rPr>
                <w:rFonts w:ascii="Arial" w:hAnsi="Arial" w:cs="Arial"/>
                <w:sz w:val="24"/>
                <w:szCs w:val="24"/>
              </w:rPr>
              <w:t>Mimoň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F96C" w14:textId="77777777" w:rsidR="00B76DAC" w:rsidRPr="00281D86" w:rsidRDefault="00B76DAC" w:rsidP="0041277D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81D86">
              <w:rPr>
                <w:rFonts w:ascii="Arial" w:hAnsi="Arial" w:cs="Arial"/>
                <w:sz w:val="22"/>
                <w:szCs w:val="22"/>
              </w:rPr>
              <w:t xml:space="preserve">1530/1, 1, 2, 45, 73/1, 720, 800, 906, </w:t>
            </w:r>
            <w:r>
              <w:rPr>
                <w:rFonts w:ascii="Arial" w:hAnsi="Arial" w:cs="Arial"/>
                <w:sz w:val="22"/>
                <w:szCs w:val="22"/>
              </w:rPr>
              <w:t xml:space="preserve">1600, </w:t>
            </w:r>
            <w:r w:rsidRPr="00281D86">
              <w:rPr>
                <w:rFonts w:ascii="Arial" w:hAnsi="Arial" w:cs="Arial"/>
                <w:sz w:val="22"/>
                <w:szCs w:val="22"/>
              </w:rPr>
              <w:t>2211,</w:t>
            </w:r>
            <w:r>
              <w:rPr>
                <w:rFonts w:ascii="Arial" w:hAnsi="Arial" w:cs="Arial"/>
                <w:sz w:val="22"/>
                <w:szCs w:val="22"/>
              </w:rPr>
              <w:t xml:space="preserve"> 2250/1</w:t>
            </w:r>
            <w:r w:rsidRPr="00281D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72F6B57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color w:val="FF0000"/>
          <w:sz w:val="24"/>
          <w:szCs w:val="24"/>
          <w:u w:val="single"/>
          <w:lang w:eastAsia="cs-CZ"/>
        </w:rPr>
      </w:pPr>
    </w:p>
    <w:p w14:paraId="7135F17F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3D7E8FF2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3B6505AA" w14:textId="77777777" w:rsidR="00B76DAC" w:rsidRPr="00516F64" w:rsidRDefault="00B76DAC" w:rsidP="00B76DAC">
      <w:pPr>
        <w:spacing w:after="120"/>
        <w:ind w:left="360"/>
        <w:jc w:val="both"/>
        <w:rPr>
          <w:rFonts w:ascii="Arial" w:eastAsia="Calibri" w:hAnsi="Arial" w:cs="Arial"/>
          <w:noProof/>
          <w:sz w:val="24"/>
          <w:szCs w:val="24"/>
          <w:u w:val="single"/>
        </w:rPr>
      </w:pPr>
    </w:p>
    <w:p w14:paraId="2D9720ED" w14:textId="77777777" w:rsidR="00B76DAC" w:rsidRPr="00516F64" w:rsidRDefault="00B76DAC" w:rsidP="00B76DAC">
      <w:pPr>
        <w:spacing w:after="120"/>
        <w:ind w:left="360"/>
        <w:jc w:val="both"/>
        <w:rPr>
          <w:rFonts w:ascii="Arial" w:eastAsia="Calibri" w:hAnsi="Arial" w:cs="Arial"/>
          <w:noProof/>
          <w:sz w:val="24"/>
          <w:szCs w:val="24"/>
          <w:u w:val="single"/>
        </w:rPr>
      </w:pPr>
    </w:p>
    <w:p w14:paraId="19D6F998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6731F95C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033820A8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1B498588" w14:textId="77777777" w:rsidR="00B76DAC" w:rsidRDefault="00B76DAC" w:rsidP="00B76DAC">
      <w:pPr>
        <w:jc w:val="both"/>
        <w:rPr>
          <w:rFonts w:ascii="Arial" w:eastAsia="Calibri" w:hAnsi="Arial" w:cs="Arial"/>
          <w:noProof/>
          <w:sz w:val="24"/>
          <w:szCs w:val="24"/>
        </w:rPr>
      </w:pPr>
    </w:p>
    <w:p w14:paraId="6E94643C" w14:textId="77777777" w:rsidR="00B76DAC" w:rsidRDefault="00B76DAC" w:rsidP="00B76DAC">
      <w:pPr>
        <w:jc w:val="both"/>
        <w:rPr>
          <w:rFonts w:ascii="Arial" w:eastAsia="Calibri" w:hAnsi="Arial" w:cs="Arial"/>
          <w:noProof/>
          <w:sz w:val="24"/>
          <w:szCs w:val="24"/>
        </w:rPr>
      </w:pPr>
    </w:p>
    <w:p w14:paraId="4DD63A9F" w14:textId="77777777" w:rsidR="00B76DAC" w:rsidRPr="00D128B0" w:rsidRDefault="00B76DAC" w:rsidP="00B76DAC"/>
    <w:p w14:paraId="2E93C419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75D6C0DB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4AB1803A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169115DA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57000B6F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37C386DA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631937C1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597CC9CB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2356530E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41BCFF8D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0AA4984C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67734771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4C889DDB" w14:textId="77777777" w:rsidR="00B76DAC" w:rsidRDefault="00B76DAC" w:rsidP="00B76DAC">
      <w:pPr>
        <w:pStyle w:val="Odstavecseseznamem"/>
        <w:spacing w:after="120" w:line="240" w:lineRule="auto"/>
        <w:ind w:left="426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</w:p>
    <w:p w14:paraId="301CB24D" w14:textId="77777777" w:rsidR="00B76DAC" w:rsidRPr="00D128B0" w:rsidRDefault="00B76DAC" w:rsidP="00987B27">
      <w:pPr>
        <w:jc w:val="center"/>
        <w:rPr>
          <w:rFonts w:ascii="Arial" w:eastAsia="Calibri" w:hAnsi="Arial" w:cs="Arial"/>
          <w:b/>
          <w:noProof/>
          <w:sz w:val="24"/>
          <w:szCs w:val="24"/>
        </w:rPr>
      </w:pPr>
    </w:p>
    <w:sectPr w:rsidR="00B76DAC" w:rsidRPr="00D128B0" w:rsidSect="00987B27">
      <w:headerReference w:type="default" r:id="rId7"/>
      <w:footerReference w:type="default" r:id="rId8"/>
      <w:pgSz w:w="11907" w:h="16840" w:code="9"/>
      <w:pgMar w:top="1417" w:right="1134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6D93" w14:textId="77777777" w:rsidR="00632E74" w:rsidRDefault="00632E74" w:rsidP="005B109B">
      <w:r>
        <w:separator/>
      </w:r>
    </w:p>
  </w:endnote>
  <w:endnote w:type="continuationSeparator" w:id="0">
    <w:p w14:paraId="6FB4AD79" w14:textId="77777777" w:rsidR="00632E74" w:rsidRDefault="00632E74" w:rsidP="005B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6339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19A2ED1" w14:textId="77777777" w:rsidR="00987B27" w:rsidRDefault="00987B2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6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36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02DF39" w14:textId="77777777" w:rsidR="005B109B" w:rsidRDefault="005B10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9F54" w14:textId="77777777" w:rsidR="00632E74" w:rsidRDefault="00632E74" w:rsidP="005B109B">
      <w:r>
        <w:separator/>
      </w:r>
    </w:p>
  </w:footnote>
  <w:footnote w:type="continuationSeparator" w:id="0">
    <w:p w14:paraId="5EF0AD0B" w14:textId="77777777" w:rsidR="00632E74" w:rsidRDefault="00632E74" w:rsidP="005B109B">
      <w:r>
        <w:continuationSeparator/>
      </w:r>
    </w:p>
  </w:footnote>
  <w:footnote w:id="1">
    <w:p w14:paraId="7A063489" w14:textId="77777777" w:rsidR="00A8067D" w:rsidRPr="003E407D" w:rsidRDefault="00A8067D" w:rsidP="00A8067D">
      <w:pPr>
        <w:pStyle w:val="Textpoznpodarou"/>
        <w:ind w:left="170" w:hanging="170"/>
        <w:jc w:val="both"/>
      </w:pPr>
      <w:r w:rsidRPr="00CF495E">
        <w:rPr>
          <w:rStyle w:val="Znakapoznpodarou"/>
        </w:rPr>
        <w:footnoteRef/>
      </w:r>
      <w:r w:rsidRPr="00CF495E">
        <w:rPr>
          <w:vertAlign w:val="superscript"/>
        </w:rPr>
        <w:t>)</w:t>
      </w:r>
      <w:r w:rsidRPr="00CF495E">
        <w:t xml:space="preserve"> </w:t>
      </w:r>
      <w:r w:rsidRPr="00CF495E">
        <w:rPr>
          <w:rFonts w:ascii="Arial" w:hAnsi="Arial" w:cs="Arial"/>
          <w:sz w:val="18"/>
          <w:szCs w:val="18"/>
        </w:rPr>
        <w:t>ustanovení § 2 písm. f) zákona č. 65/2017 Sb., o ochraně zdraví před škodlivými účinky návykových látek, ve znění pozdějších předpisů (Alkoholickým nápojem se rozumí nápoj obsahující více než 0,5 % objemových ethanolu.)</w:t>
      </w:r>
    </w:p>
  </w:footnote>
  <w:footnote w:id="2">
    <w:p w14:paraId="5B1A598A" w14:textId="77777777" w:rsidR="00982CCC" w:rsidRDefault="00982CCC" w:rsidP="00982CC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1CE9E105" w14:textId="77777777" w:rsidR="00982CCC" w:rsidRDefault="00982CCC" w:rsidP="00982CC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0655" w14:textId="77777777" w:rsidR="00333DC7" w:rsidRPr="00333DC7" w:rsidRDefault="00333DC7">
    <w:pPr>
      <w:pStyle w:val="Zhlav"/>
      <w:rPr>
        <w:rFonts w:ascii="Arial" w:hAnsi="Arial" w:cs="Arial"/>
        <w:sz w:val="32"/>
        <w:szCs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0C2"/>
    <w:multiLevelType w:val="hybridMultilevel"/>
    <w:tmpl w:val="C5526B3E"/>
    <w:lvl w:ilvl="0" w:tplc="CAEE967E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16CA0"/>
    <w:multiLevelType w:val="hybridMultilevel"/>
    <w:tmpl w:val="C764C6AC"/>
    <w:lvl w:ilvl="0" w:tplc="6D802D54">
      <w:start w:val="1"/>
      <w:numFmt w:val="decimal"/>
      <w:lvlText w:val="(%1)"/>
      <w:lvlJc w:val="left"/>
      <w:pPr>
        <w:ind w:left="5322" w:hanging="360"/>
      </w:pPr>
      <w:rPr>
        <w:rFonts w:cs="Times New Roman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F5E81"/>
    <w:multiLevelType w:val="hybridMultilevel"/>
    <w:tmpl w:val="46688D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8B5162E"/>
    <w:multiLevelType w:val="hybridMultilevel"/>
    <w:tmpl w:val="582E48A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098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658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8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966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123855">
    <w:abstractNumId w:val="4"/>
  </w:num>
  <w:num w:numId="6" w16cid:durableId="2146968482">
    <w:abstractNumId w:val="6"/>
  </w:num>
  <w:num w:numId="7" w16cid:durableId="916286359">
    <w:abstractNumId w:val="1"/>
  </w:num>
  <w:num w:numId="8" w16cid:durableId="1655179392">
    <w:abstractNumId w:val="6"/>
    <w:lvlOverride w:ilvl="0">
      <w:startOverride w:val="1"/>
    </w:lvlOverride>
  </w:num>
  <w:num w:numId="9" w16cid:durableId="1142307126">
    <w:abstractNumId w:val="3"/>
  </w:num>
  <w:num w:numId="10" w16cid:durableId="1021324315">
    <w:abstractNumId w:val="7"/>
  </w:num>
  <w:num w:numId="11" w16cid:durableId="1767534288">
    <w:abstractNumId w:val="0"/>
  </w:num>
  <w:num w:numId="12" w16cid:durableId="188667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336E4"/>
    <w:rsid w:val="000439D2"/>
    <w:rsid w:val="00053D37"/>
    <w:rsid w:val="000D514F"/>
    <w:rsid w:val="000E54F2"/>
    <w:rsid w:val="001D7BF1"/>
    <w:rsid w:val="002307A8"/>
    <w:rsid w:val="002326AF"/>
    <w:rsid w:val="0027122D"/>
    <w:rsid w:val="002804C1"/>
    <w:rsid w:val="002C1CE5"/>
    <w:rsid w:val="003317A3"/>
    <w:rsid w:val="00333DC7"/>
    <w:rsid w:val="003E231D"/>
    <w:rsid w:val="00450412"/>
    <w:rsid w:val="005B109B"/>
    <w:rsid w:val="005D5A31"/>
    <w:rsid w:val="00611697"/>
    <w:rsid w:val="00632E74"/>
    <w:rsid w:val="00652FBC"/>
    <w:rsid w:val="006942F4"/>
    <w:rsid w:val="006D3057"/>
    <w:rsid w:val="0076065D"/>
    <w:rsid w:val="00770C41"/>
    <w:rsid w:val="00794306"/>
    <w:rsid w:val="008073F3"/>
    <w:rsid w:val="00811ACE"/>
    <w:rsid w:val="00913CC8"/>
    <w:rsid w:val="00916AC4"/>
    <w:rsid w:val="0094411A"/>
    <w:rsid w:val="00982CCC"/>
    <w:rsid w:val="00987B27"/>
    <w:rsid w:val="009B7B90"/>
    <w:rsid w:val="009B7BB6"/>
    <w:rsid w:val="009F52E9"/>
    <w:rsid w:val="00A615CB"/>
    <w:rsid w:val="00A8067D"/>
    <w:rsid w:val="00AC1D63"/>
    <w:rsid w:val="00AF33E8"/>
    <w:rsid w:val="00AF6B56"/>
    <w:rsid w:val="00B43B7C"/>
    <w:rsid w:val="00B76DAC"/>
    <w:rsid w:val="00BE5707"/>
    <w:rsid w:val="00BE75AC"/>
    <w:rsid w:val="00CF16DD"/>
    <w:rsid w:val="00CF495E"/>
    <w:rsid w:val="00D128B0"/>
    <w:rsid w:val="00D80C29"/>
    <w:rsid w:val="00E07D9A"/>
    <w:rsid w:val="00E32ABF"/>
    <w:rsid w:val="00E41E5B"/>
    <w:rsid w:val="00E83FCD"/>
    <w:rsid w:val="00EB4A3D"/>
    <w:rsid w:val="00EF35E9"/>
    <w:rsid w:val="00F028C0"/>
    <w:rsid w:val="00F15D57"/>
    <w:rsid w:val="00F51C2F"/>
    <w:rsid w:val="00F67453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BFC3"/>
  <w15:docId w15:val="{68580014-5E3D-48EF-A807-EFEF3715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11A"/>
    <w:pPr>
      <w:keepNext/>
      <w:tabs>
        <w:tab w:val="left" w:pos="1985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94411A"/>
    <w:pPr>
      <w:keepNext/>
      <w:jc w:val="center"/>
      <w:outlineLvl w:val="1"/>
    </w:pPr>
    <w:rPr>
      <w:rFonts w:eastAsia="Arial Unicode MS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4411A"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11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11A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4411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94411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1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B109B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109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B10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sWWW">
    <w:name w:val="Normální (síť WWW)"/>
    <w:basedOn w:val="Normln"/>
    <w:uiPriority w:val="99"/>
    <w:rsid w:val="005B109B"/>
    <w:pPr>
      <w:suppressAutoHyphens/>
      <w:spacing w:before="280" w:after="280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5B109B"/>
    <w:pPr>
      <w:widowControl w:val="0"/>
      <w:numPr>
        <w:numId w:val="1"/>
      </w:numPr>
      <w:tabs>
        <w:tab w:val="num" w:pos="360"/>
      </w:tabs>
      <w:suppressAutoHyphens/>
      <w:spacing w:after="113"/>
      <w:ind w:left="425" w:hanging="424"/>
      <w:jc w:val="both"/>
    </w:pPr>
    <w:rPr>
      <w:rFonts w:eastAsia="Calibri"/>
      <w:sz w:val="24"/>
      <w:lang w:eastAsia="ar-SA"/>
    </w:rPr>
  </w:style>
  <w:style w:type="character" w:styleId="Znakapoznpodarou">
    <w:name w:val="footnote reference"/>
    <w:basedOn w:val="Standardnpsmoodstavce"/>
    <w:unhideWhenUsed/>
    <w:rsid w:val="005B109B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5B10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5B10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10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6A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Hlava">
    <w:name w:val="Hlava"/>
    <w:basedOn w:val="Normln"/>
    <w:rsid w:val="00794306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customStyle="1" w:styleId="NormlnIMP">
    <w:name w:val="Normální_IMP"/>
    <w:basedOn w:val="Normln"/>
    <w:rsid w:val="00B76DAC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B76DAC"/>
    <w:pPr>
      <w:suppressAutoHyphens/>
      <w:ind w:left="708" w:firstLine="357"/>
      <w:jc w:val="both"/>
    </w:pPr>
    <w:rPr>
      <w:sz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76D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rsid w:val="00B76DAC"/>
    <w:pPr>
      <w:widowControl w:val="0"/>
      <w:suppressAutoHyphens/>
      <w:spacing w:before="280" w:after="280"/>
    </w:pPr>
    <w:rPr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33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6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6E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F4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687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Kolaříková</dc:creator>
  <cp:lastModifiedBy>Kabeš Matyáš</cp:lastModifiedBy>
  <cp:revision>8</cp:revision>
  <cp:lastPrinted>2023-02-21T07:13:00Z</cp:lastPrinted>
  <dcterms:created xsi:type="dcterms:W3CDTF">2023-02-13T13:44:00Z</dcterms:created>
  <dcterms:modified xsi:type="dcterms:W3CDTF">2023-03-17T07:26:00Z</dcterms:modified>
</cp:coreProperties>
</file>