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99F7" w14:textId="77777777" w:rsidR="000767F0" w:rsidRPr="00481AA0" w:rsidRDefault="000767F0" w:rsidP="0007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bdr w:val="none" w:sz="0" w:space="0" w:color="auto"/>
        </w:rPr>
        <w:t>O</w:t>
      </w: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>BEC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Bílý Kostel nad Nisou </w:t>
      </w:r>
    </w:p>
    <w:p w14:paraId="5B297BB6" w14:textId="77777777" w:rsidR="000767F0" w:rsidRPr="00481AA0" w:rsidRDefault="000767F0" w:rsidP="0007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Bílý Kostel nad Nisou </w:t>
      </w:r>
    </w:p>
    <w:p w14:paraId="617BCCEE" w14:textId="77777777" w:rsidR="000767F0" w:rsidRDefault="000767F0" w:rsidP="0007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Bílý Kostel nad Nisou </w:t>
      </w:r>
    </w:p>
    <w:p w14:paraId="6571C22A" w14:textId="77777777" w:rsidR="000767F0" w:rsidRDefault="000767F0" w:rsidP="0007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6DA84F8A" w14:textId="77777777" w:rsidR="004D5CAF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03A3461" w14:textId="77777777" w:rsidR="000767F0" w:rsidRDefault="000767F0" w:rsidP="0007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hAnsi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>
        <w:rPr>
          <w:rFonts w:ascii="Arial" w:hAnsi="Arial"/>
          <w:b/>
          <w:bCs/>
        </w:rPr>
        <w:t xml:space="preserve">Bílý Kostel nad Nisou </w:t>
      </w:r>
    </w:p>
    <w:p w14:paraId="3DAC6B27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98E3069" w14:textId="29652E9F" w:rsidR="000767F0" w:rsidRDefault="000767F0" w:rsidP="008353E9">
      <w:pPr>
        <w:widowControl w:val="0"/>
        <w:spacing w:after="36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 Bílý Kostel nad Nisou</w:t>
      </w:r>
      <w:r w:rsidR="00CC2E8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752381" w:rsidRPr="0034190A">
        <w:rPr>
          <w:rFonts w:ascii="Arial" w:hAnsi="Arial"/>
          <w:color w:val="000000" w:themeColor="text1"/>
          <w:sz w:val="22"/>
          <w:szCs w:val="22"/>
        </w:rPr>
        <w:t>23.09.2024</w:t>
      </w:r>
      <w:r w:rsidRPr="0034190A"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usnesením č. </w:t>
      </w:r>
      <w:r w:rsidR="00752381" w:rsidRPr="0034190A">
        <w:rPr>
          <w:rFonts w:ascii="Arial" w:hAnsi="Arial"/>
          <w:color w:val="000000" w:themeColor="text1"/>
          <w:sz w:val="22"/>
          <w:szCs w:val="22"/>
        </w:rPr>
        <w:t>3/24</w:t>
      </w:r>
      <w:r w:rsidR="0034190A" w:rsidRPr="0034190A"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 d), § 35 a § 84 odst. 2 písm. h) zákona č. 128/2000 Sb.,</w:t>
      </w:r>
      <w:r w:rsidR="0034190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 obcích (obecní zřízení), ve znění pozdějších předpisů, tuto obecně závaznou vyhlášku:</w:t>
      </w:r>
    </w:p>
    <w:p w14:paraId="41A3226B" w14:textId="23B6BA63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2A6C40E8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 w:rsidSect="0034190A">
          <w:headerReference w:type="default" r:id="rId7"/>
          <w:footerReference w:type="default" r:id="rId8"/>
          <w:pgSz w:w="11900" w:h="16840"/>
          <w:pgMar w:top="709" w:right="1417" w:bottom="1417" w:left="1417" w:header="708" w:footer="708" w:gutter="0"/>
          <w:cols w:space="708"/>
        </w:sectPr>
      </w:pPr>
    </w:p>
    <w:p w14:paraId="1602DC8D" w14:textId="77777777" w:rsidR="004D5CAF" w:rsidRDefault="004147C9" w:rsidP="008353E9">
      <w:pPr>
        <w:widowControl w:val="0"/>
        <w:spacing w:after="24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046C2684" w14:textId="6CA750BB" w:rsidR="004D5CAF" w:rsidRPr="0034190A" w:rsidRDefault="0034190A" w:rsidP="005C1C15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  <w:b/>
          <w:bCs/>
        </w:rPr>
      </w:pPr>
      <w:r w:rsidRPr="0034190A">
        <w:rPr>
          <w:rFonts w:ascii="Arial" w:hAnsi="Arial"/>
        </w:rPr>
        <w:t xml:space="preserve">Na všech </w:t>
      </w:r>
      <w:r w:rsidR="004147C9" w:rsidRPr="0034190A">
        <w:rPr>
          <w:rFonts w:ascii="Arial" w:hAnsi="Arial"/>
        </w:rPr>
        <w:t>veřejn</w:t>
      </w:r>
      <w:r w:rsidRPr="0034190A">
        <w:rPr>
          <w:rFonts w:ascii="Arial" w:hAnsi="Arial"/>
        </w:rPr>
        <w:t xml:space="preserve">ých </w:t>
      </w:r>
      <w:r w:rsidR="004147C9" w:rsidRPr="0034190A">
        <w:rPr>
          <w:rFonts w:ascii="Arial" w:hAnsi="Arial"/>
        </w:rPr>
        <w:t>prostranství</w:t>
      </w:r>
      <w:r w:rsidR="00B327B2" w:rsidRPr="00950DD2">
        <w:rPr>
          <w:rFonts w:ascii="Arial" w:hAnsi="Arial"/>
          <w:color w:val="auto"/>
        </w:rPr>
        <w:t>ch</w:t>
      </w:r>
      <w:r w:rsidR="004147C9" w:rsidRPr="0034190A">
        <w:rPr>
          <w:rFonts w:ascii="Arial" w:hAnsi="Arial"/>
        </w:rPr>
        <w:t xml:space="preserve"> v obci</w:t>
      </w:r>
      <w:r w:rsidR="004147C9">
        <w:rPr>
          <w:rStyle w:val="Znakapoznpodarou"/>
          <w:rFonts w:ascii="Arial" w:eastAsia="Arial" w:hAnsi="Arial" w:cs="Arial"/>
        </w:rPr>
        <w:footnoteReference w:id="2"/>
      </w:r>
      <w:r w:rsidR="004147C9" w:rsidRPr="0034190A">
        <w:rPr>
          <w:rStyle w:val="Znakapoznpodarou"/>
          <w:rFonts w:ascii="Arial" w:hAnsi="Arial"/>
        </w:rPr>
        <w:t>)</w:t>
      </w:r>
      <w:r>
        <w:rPr>
          <w:rStyle w:val="Znakapoznpodarou"/>
          <w:rFonts w:ascii="Arial" w:hAnsi="Arial"/>
        </w:rPr>
        <w:t xml:space="preserve"> </w:t>
      </w:r>
      <w:r w:rsidRPr="0034190A">
        <w:rPr>
          <w:rFonts w:ascii="Arial" w:hAnsi="Arial"/>
        </w:rPr>
        <w:t xml:space="preserve">je možný pohyb psů pouze na vodítku.      </w:t>
      </w:r>
    </w:p>
    <w:p w14:paraId="40D0DEAB" w14:textId="4F65201A" w:rsidR="004D5CAF" w:rsidRDefault="0034190A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>Splnění povinností stanovených v odst. 1 zajišťuje fyzická osoba, která má psa na veřejném prostranství pod kontrolou</w:t>
      </w:r>
      <w:r>
        <w:rPr>
          <w:rFonts w:ascii="Arial" w:hAnsi="Arial"/>
        </w:rPr>
        <w:t xml:space="preserve"> </w:t>
      </w:r>
      <w:r w:rsidR="004147C9">
        <w:rPr>
          <w:rFonts w:ascii="Arial" w:hAnsi="Arial"/>
        </w:rPr>
        <w:t xml:space="preserve">či dohledem </w:t>
      </w:r>
      <w:r w:rsidR="004147C9">
        <w:rPr>
          <w:rStyle w:val="Znakapoznpodarou"/>
          <w:rFonts w:ascii="Arial" w:eastAsia="Arial" w:hAnsi="Arial" w:cs="Arial"/>
        </w:rPr>
        <w:footnoteReference w:id="3"/>
      </w:r>
      <w:r w:rsidR="004147C9">
        <w:rPr>
          <w:rStyle w:val="Znakapoznpodarou"/>
          <w:rFonts w:ascii="Arial" w:hAnsi="Arial"/>
        </w:rPr>
        <w:t>)</w:t>
      </w:r>
      <w:r w:rsidR="004147C9">
        <w:rPr>
          <w:rFonts w:ascii="Arial" w:hAnsi="Arial"/>
        </w:rPr>
        <w:t>.</w:t>
      </w:r>
    </w:p>
    <w:p w14:paraId="27FB261B" w14:textId="77777777" w:rsidR="004D5CAF" w:rsidRDefault="004147C9" w:rsidP="008353E9">
      <w:pPr>
        <w:pStyle w:val="Odstavecseseznamem"/>
        <w:widowControl w:val="0"/>
        <w:numPr>
          <w:ilvl w:val="0"/>
          <w:numId w:val="6"/>
        </w:numPr>
        <w:spacing w:after="36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19B12E0F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D40BC08" w14:textId="77777777" w:rsidR="004D5CAF" w:rsidRDefault="004147C9" w:rsidP="008353E9">
      <w:pPr>
        <w:spacing w:after="24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2C46A214" w14:textId="49E79C2E" w:rsidR="004D5CAF" w:rsidRDefault="004147C9" w:rsidP="009006D0">
      <w:pPr>
        <w:pStyle w:val="Odstavecseseznamem"/>
        <w:widowControl w:val="0"/>
        <w:spacing w:after="360" w:line="312" w:lineRule="auto"/>
        <w:ind w:left="357"/>
        <w:jc w:val="both"/>
        <w:rPr>
          <w:rFonts w:ascii="Arial" w:hAnsi="Arial"/>
        </w:rPr>
      </w:pPr>
      <w:r>
        <w:rPr>
          <w:rFonts w:ascii="Arial" w:hAnsi="Arial"/>
        </w:rPr>
        <w:t xml:space="preserve">Pro volné pobíhání psů, které je možné pouze pod neustálým dohledem a přímým vlivem fyzické osoby doprovázející psa, se vymezují prostory uvedené v příloze č. </w:t>
      </w:r>
      <w:r w:rsidR="000767F0">
        <w:rPr>
          <w:rFonts w:ascii="Arial" w:hAnsi="Arial"/>
        </w:rPr>
        <w:t>1</w:t>
      </w:r>
      <w:r>
        <w:rPr>
          <w:rFonts w:ascii="Arial" w:hAnsi="Arial"/>
        </w:rPr>
        <w:t xml:space="preserve"> této obecně závazné vyhlášky.</w:t>
      </w:r>
      <w:r w:rsidR="003D047D">
        <w:rPr>
          <w:rFonts w:ascii="Arial" w:hAnsi="Arial"/>
        </w:rPr>
        <w:t xml:space="preserve">  </w:t>
      </w:r>
    </w:p>
    <w:p w14:paraId="2A39098F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69307EC6" w14:textId="77777777" w:rsidR="004D5CAF" w:rsidRDefault="004147C9" w:rsidP="008353E9">
      <w:pPr>
        <w:pStyle w:val="Zkladntext"/>
        <w:spacing w:after="24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16C37DF3" w14:textId="535A4BFC" w:rsidR="0034190A" w:rsidRDefault="009006D0" w:rsidP="00835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60"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sz w:val="22"/>
          <w:szCs w:val="22"/>
        </w:rPr>
        <w:t xml:space="preserve">Zrušuje se obecně závazná vyhláška obce Bílý Kostel nad Nisou </w:t>
      </w:r>
      <w:r w:rsidR="004147C9">
        <w:rPr>
          <w:rFonts w:ascii="Arial" w:hAnsi="Arial"/>
          <w:sz w:val="22"/>
          <w:szCs w:val="22"/>
        </w:rPr>
        <w:t>č</w:t>
      </w:r>
      <w:r w:rsidR="0034190A">
        <w:rPr>
          <w:rFonts w:ascii="Arial" w:hAnsi="Arial"/>
          <w:sz w:val="22"/>
          <w:szCs w:val="22"/>
        </w:rPr>
        <w:t>.</w:t>
      </w:r>
      <w:r w:rsidR="000767F0">
        <w:rPr>
          <w:rFonts w:ascii="Arial" w:hAnsi="Arial"/>
          <w:sz w:val="22"/>
          <w:szCs w:val="22"/>
        </w:rPr>
        <w:t>1/2009</w:t>
      </w:r>
      <w:r>
        <w:rPr>
          <w:rFonts w:ascii="Arial" w:hAnsi="Arial"/>
          <w:sz w:val="22"/>
          <w:szCs w:val="22"/>
        </w:rPr>
        <w:t xml:space="preserve">, kterou se stanovují pravidla pro pohyb psů na veřejném prostranství a vymezuji prostory pro volné pobíhání psů, ze dne 25.2.2009. </w:t>
      </w:r>
      <w:r w:rsidR="0034190A">
        <w:rPr>
          <w:rFonts w:ascii="Arial" w:hAnsi="Arial"/>
          <w:b/>
          <w:bCs/>
        </w:rPr>
        <w:t xml:space="preserve"> </w:t>
      </w:r>
    </w:p>
    <w:p w14:paraId="342ADFEC" w14:textId="54FE4028"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hAnsi="Arial"/>
          <w:sz w:val="22"/>
          <w:szCs w:val="22"/>
        </w:rPr>
      </w:pPr>
    </w:p>
    <w:p w14:paraId="0C461EF7" w14:textId="77777777" w:rsidR="0034190A" w:rsidRDefault="0034190A" w:rsidP="0034190A">
      <w:pPr>
        <w:pStyle w:val="Seznamoslovan"/>
        <w:tabs>
          <w:tab w:val="left" w:pos="720"/>
        </w:tabs>
        <w:spacing w:after="0" w:line="312" w:lineRule="auto"/>
        <w:rPr>
          <w:rFonts w:ascii="Arial" w:hAnsi="Arial"/>
          <w:sz w:val="22"/>
          <w:szCs w:val="22"/>
        </w:rPr>
      </w:pPr>
    </w:p>
    <w:p w14:paraId="6BDD35A0" w14:textId="77777777" w:rsidR="004C258C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205F339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14:paraId="7F4BC481" w14:textId="77777777" w:rsidR="004D5CAF" w:rsidRDefault="004147C9" w:rsidP="008353E9">
      <w:pPr>
        <w:pStyle w:val="Zkladntext"/>
        <w:spacing w:after="24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7378DE0F" w14:textId="157D6967" w:rsidR="0034190A" w:rsidRPr="004C258C" w:rsidRDefault="0034190A" w:rsidP="008353E9">
      <w:pPr>
        <w:pStyle w:val="Normlnweb"/>
        <w:spacing w:after="120"/>
        <w:rPr>
          <w:rFonts w:ascii="Arial" w:eastAsia="Times New Roman" w:hAnsi="Arial" w:cs="Arial"/>
          <w:sz w:val="22"/>
          <w:szCs w:val="22"/>
        </w:rPr>
      </w:pPr>
      <w:r w:rsidRPr="004C258C">
        <w:rPr>
          <w:rFonts w:ascii="Arial" w:eastAsia="Times New Roman" w:hAnsi="Arial" w:cs="Arial"/>
          <w:sz w:val="22"/>
          <w:szCs w:val="22"/>
        </w:rPr>
        <w:t xml:space="preserve">Tato </w:t>
      </w:r>
      <w:r>
        <w:rPr>
          <w:rFonts w:ascii="Arial" w:eastAsia="Times New Roman" w:hAnsi="Arial" w:cs="Arial"/>
          <w:sz w:val="22"/>
          <w:szCs w:val="22"/>
        </w:rPr>
        <w:t xml:space="preserve">obecně závazná </w:t>
      </w:r>
      <w:r w:rsidRPr="004C258C">
        <w:rPr>
          <w:rFonts w:ascii="Arial" w:eastAsia="Times New Roman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79B0B8E" w14:textId="77777777" w:rsidR="004D5CAF" w:rsidRDefault="004D5CAF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10209AC9" w14:textId="77777777" w:rsidR="00752381" w:rsidRDefault="00752381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658CB7A" w14:textId="77777777" w:rsidR="00752381" w:rsidRDefault="00752381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0914EDCF" w14:textId="77777777" w:rsidR="00752381" w:rsidRDefault="00752381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FAE40C9" w14:textId="77777777" w:rsidR="00752381" w:rsidRDefault="00752381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03147E7" w14:textId="0D5305B7" w:rsidR="00752381" w:rsidRPr="00752381" w:rsidRDefault="00752381" w:rsidP="007523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sectPr w:rsidR="00752381" w:rsidRPr="00752381" w:rsidSect="0034190A">
          <w:type w:val="continuous"/>
          <w:pgSz w:w="11900" w:h="16840"/>
          <w:pgMar w:top="709" w:right="1417" w:bottom="1417" w:left="1417" w:header="708" w:footer="708" w:gutter="0"/>
          <w:cols w:space="708"/>
        </w:sectPr>
      </w:pPr>
    </w:p>
    <w:p w14:paraId="0DA05066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A39069C" w14:textId="5D4D42A1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 w:rsidR="0011279D">
        <w:rPr>
          <w:rFonts w:ascii="Arial" w:hAnsi="Arial"/>
          <w:sz w:val="22"/>
          <w:szCs w:val="22"/>
        </w:rPr>
        <w:t xml:space="preserve">   </w:t>
      </w:r>
    </w:p>
    <w:p w14:paraId="58BF794B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449D1E4B" w14:textId="44D64FA9" w:rsidR="004D5CAF" w:rsidRDefault="0011279D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Irena Kostelencová</w:t>
      </w:r>
      <w:r w:rsidR="004147C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Ing.Jiří Formánek</w:t>
      </w:r>
    </w:p>
    <w:p w14:paraId="5A9FFA3D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464FCB94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E41C94C" w14:textId="234B9942" w:rsidR="004D5CAF" w:rsidRDefault="004147C9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.</w:t>
      </w:r>
    </w:p>
    <w:p w14:paraId="3CD47553" w14:textId="77777777" w:rsidR="004D5CAF" w:rsidRDefault="004D5CAF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EDA5617" w14:textId="77777777" w:rsidR="0034190A" w:rsidRDefault="0034190A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DA5CFCA" w14:textId="67420D94" w:rsidR="004D5CAF" w:rsidRDefault="004147C9" w:rsidP="00481AA0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</w:t>
      </w:r>
      <w:r w:rsidR="000767F0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k obecně závazné vyhlášce obce </w:t>
      </w:r>
      <w:r w:rsidR="000767F0">
        <w:rPr>
          <w:rFonts w:ascii="Arial" w:hAnsi="Arial"/>
          <w:sz w:val="22"/>
          <w:szCs w:val="22"/>
        </w:rPr>
        <w:t>Bílý Kostel nad Nisou</w:t>
      </w:r>
      <w:r w:rsidR="006F1F14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ve které je uveden  výčet veřejných prostranství pro volné pobíhání psů v obci, na nichž se uplatňuje regulace dle ust. čl. 2</w:t>
      </w:r>
      <w:r w:rsidR="009006D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obecně závazné vyhlášky obce.</w:t>
      </w:r>
    </w:p>
    <w:p w14:paraId="1D213BA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005111AF" w14:textId="264330A6" w:rsidR="004D5CAF" w:rsidRDefault="004C258C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  <w:r w:rsidRPr="009077D8"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  <w:t>.</w:t>
      </w:r>
    </w:p>
    <w:p w14:paraId="601493CF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4F3ECBD5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2A1C1A80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66FF2906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53B4D99F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D975CC6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55F5FD11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193CCC86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3B2342C8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826629E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35F76E02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7E6DAAD6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3DB82562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2CF3DD6E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5DF897F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75415DE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4AF24B21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4128124B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33760998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7416006" w14:textId="77777777" w:rsidR="008353E9" w:rsidRDefault="008353E9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720D8438" w14:textId="77777777" w:rsidR="008353E9" w:rsidRDefault="008353E9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31EEBCD" w14:textId="77777777" w:rsidR="0034190A" w:rsidRDefault="0034190A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D663DB8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771CC692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1EAE94B9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7AF08089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5549FC5" w14:textId="0E7EE2E6" w:rsidR="00752381" w:rsidRDefault="00752381" w:rsidP="00752381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Příloha č.1 </w:t>
      </w:r>
    </w:p>
    <w:p w14:paraId="2B6A6EC8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0F41D197" w14:textId="04D5BE0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  <w:r w:rsidRPr="00752381">
        <w:rPr>
          <w:rFonts w:ascii="Arial" w:hAnsi="Arial"/>
          <w:sz w:val="22"/>
          <w:szCs w:val="22"/>
        </w:rPr>
        <w:t>Vymezené prostory pro volné pobíhání psů</w:t>
      </w:r>
      <w:r>
        <w:rPr>
          <w:rFonts w:ascii="Arial" w:hAnsi="Arial"/>
          <w:sz w:val="22"/>
          <w:szCs w:val="22"/>
        </w:rPr>
        <w:t xml:space="preserve">: </w:t>
      </w:r>
    </w:p>
    <w:p w14:paraId="21A35C6B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610EEB16" w14:textId="1EC7EC2C" w:rsidR="00752381" w:rsidRDefault="00752381" w:rsidP="00752381">
      <w:pPr>
        <w:pStyle w:val="Zkladntext"/>
        <w:numPr>
          <w:ilvl w:val="0"/>
          <w:numId w:val="9"/>
        </w:numPr>
        <w:spacing w:after="0"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Bílý Kostel nad Nisou,</w:t>
      </w:r>
      <w:r w:rsidR="0034190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část středové plochy u řeky Nisy, p.č. 2294/1 k.ú Bílý Kostel nad Nisou </w:t>
      </w:r>
      <w:r w:rsidR="003724CF">
        <w:rPr>
          <w:rFonts w:ascii="Arial" w:hAnsi="Arial"/>
          <w:sz w:val="22"/>
          <w:szCs w:val="22"/>
        </w:rPr>
        <w:t xml:space="preserve">- modře označená část  </w:t>
      </w:r>
    </w:p>
    <w:p w14:paraId="5AC5B2E5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048E5610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011EFCD5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61870A97" w14:textId="745A1FC0" w:rsidR="00752381" w:rsidRDefault="003724CF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40810774" wp14:editId="70BAEE2E">
            <wp:extent cx="5756910" cy="2797175"/>
            <wp:effectExtent l="0" t="0" r="0" b="3175"/>
            <wp:docPr id="20113429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429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233D" w14:textId="77777777" w:rsidR="003724CF" w:rsidRDefault="003724CF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33E1C062" w14:textId="77777777" w:rsidR="003724CF" w:rsidRDefault="003724CF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14C9BCC0" w14:textId="77777777" w:rsidR="003724CF" w:rsidRDefault="003724CF" w:rsidP="003724CF">
      <w:pPr>
        <w:pStyle w:val="Zkladntext"/>
        <w:numPr>
          <w:ilvl w:val="0"/>
          <w:numId w:val="9"/>
        </w:numPr>
        <w:spacing w:after="0"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Bílý Kostel nad Nisou, pozemek p.č. 258 u řeky Nisy před vílou Nisou </w:t>
      </w:r>
    </w:p>
    <w:p w14:paraId="28C5A2CD" w14:textId="77777777" w:rsidR="003724CF" w:rsidRDefault="003724CF" w:rsidP="003724CF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30F8AB49" w14:textId="12852E12" w:rsidR="003724CF" w:rsidRDefault="003D047D" w:rsidP="003724CF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1A451EA4" wp14:editId="7ED49F83">
            <wp:extent cx="5686425" cy="2952750"/>
            <wp:effectExtent l="0" t="0" r="0" b="0"/>
            <wp:docPr id="18004870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870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4268" cy="29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4CF">
        <w:rPr>
          <w:rFonts w:ascii="Arial" w:hAnsi="Arial"/>
          <w:sz w:val="22"/>
          <w:szCs w:val="22"/>
        </w:rPr>
        <w:t xml:space="preserve">  </w:t>
      </w:r>
    </w:p>
    <w:p w14:paraId="37CB64CF" w14:textId="77777777" w:rsidR="0034190A" w:rsidRDefault="0034190A" w:rsidP="003724CF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2E43002D" w14:textId="77777777" w:rsidR="00752381" w:rsidRDefault="00752381" w:rsidP="00752381">
      <w:pPr>
        <w:pStyle w:val="Zkladntext"/>
        <w:spacing w:after="0" w:line="312" w:lineRule="auto"/>
        <w:rPr>
          <w:rFonts w:ascii="Arial" w:hAnsi="Arial"/>
          <w:sz w:val="22"/>
          <w:szCs w:val="22"/>
        </w:rPr>
      </w:pPr>
    </w:p>
    <w:p w14:paraId="0A324E0A" w14:textId="76BC1505" w:rsidR="003724CF" w:rsidRDefault="003724CF" w:rsidP="003724CF">
      <w:pPr>
        <w:pStyle w:val="Zkladntext"/>
        <w:numPr>
          <w:ilvl w:val="0"/>
          <w:numId w:val="9"/>
        </w:numPr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Bílý Kostel nad Nisou, pozemek</w:t>
      </w:r>
      <w:r w:rsidR="0034190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,,u dolních zahrádek,, p.č. 117/1 k.</w:t>
      </w:r>
      <w:r w:rsidR="0034190A">
        <w:rPr>
          <w:rFonts w:ascii="Arial" w:eastAsia="Arial" w:hAnsi="Arial" w:cs="Arial"/>
          <w:sz w:val="22"/>
          <w:szCs w:val="22"/>
        </w:rPr>
        <w:t xml:space="preserve">ú. </w:t>
      </w:r>
      <w:r>
        <w:rPr>
          <w:rFonts w:ascii="Arial" w:eastAsia="Arial" w:hAnsi="Arial" w:cs="Arial"/>
          <w:sz w:val="22"/>
          <w:szCs w:val="22"/>
        </w:rPr>
        <w:t xml:space="preserve">Bílý Kostel nad Nisou </w:t>
      </w:r>
    </w:p>
    <w:p w14:paraId="78F7DF5C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6FFE9F8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C5F1A67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0A2BA8A" w14:textId="2AE27E53" w:rsidR="00752381" w:rsidRDefault="003D047D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E14F10C" wp14:editId="3BEF1B99">
            <wp:extent cx="5756910" cy="2381885"/>
            <wp:effectExtent l="0" t="0" r="0" b="0"/>
            <wp:docPr id="1348179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792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4CF">
        <w:rPr>
          <w:rFonts w:ascii="Arial" w:eastAsia="Arial" w:hAnsi="Arial" w:cs="Arial"/>
          <w:sz w:val="22"/>
          <w:szCs w:val="22"/>
        </w:rPr>
        <w:t xml:space="preserve"> </w:t>
      </w:r>
    </w:p>
    <w:p w14:paraId="5B38B77A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DB78C8F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6F1AEAC" w14:textId="0E958FB7" w:rsidR="003724CF" w:rsidRDefault="003724CF" w:rsidP="003724CF">
      <w:pPr>
        <w:pStyle w:val="Zkladntext"/>
        <w:numPr>
          <w:ilvl w:val="0"/>
          <w:numId w:val="9"/>
        </w:numPr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Bílý Kostel nad Nisou</w:t>
      </w:r>
      <w:r w:rsidR="0034190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,,za tratí,, p.č. 1852/8 k.ú. Bílý Kostel nad Nisou  </w:t>
      </w:r>
    </w:p>
    <w:p w14:paraId="78955993" w14:textId="77777777" w:rsidR="003C2FD7" w:rsidRDefault="003C2FD7" w:rsidP="003C2FD7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FD703F3" w14:textId="38982B87" w:rsidR="003C2FD7" w:rsidRDefault="003C2FD7" w:rsidP="003C2FD7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0CAA186" wp14:editId="34C8EC12">
            <wp:extent cx="5705475" cy="3667125"/>
            <wp:effectExtent l="0" t="0" r="9525" b="9525"/>
            <wp:docPr id="17047757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757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1916" cy="369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0C2E" w14:textId="77777777" w:rsidR="003724CF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4046335" w14:textId="00C6BCA1" w:rsidR="003724CF" w:rsidRPr="00752381" w:rsidRDefault="003724CF" w:rsidP="003724C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4974E01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09D1ACE0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</w:pPr>
    </w:p>
    <w:p w14:paraId="2D65ABBE" w14:textId="77777777" w:rsidR="00752381" w:rsidRDefault="00752381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Arial" w:hAnsi="Arial" w:cs="Arial"/>
          <w:i/>
          <w:iCs/>
          <w:sz w:val="22"/>
          <w:szCs w:val="22"/>
        </w:rPr>
      </w:pPr>
    </w:p>
    <w:sectPr w:rsidR="00752381" w:rsidSect="003C2FD7">
      <w:type w:val="continuous"/>
      <w:pgSz w:w="11900" w:h="16840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7FF17" w14:textId="77777777" w:rsidR="00690A2B" w:rsidRDefault="00690A2B">
      <w:r>
        <w:separator/>
      </w:r>
    </w:p>
  </w:endnote>
  <w:endnote w:type="continuationSeparator" w:id="0">
    <w:p w14:paraId="7B27092C" w14:textId="77777777" w:rsidR="00690A2B" w:rsidRDefault="0069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5517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C6265" w14:textId="77777777" w:rsidR="00690A2B" w:rsidRDefault="00690A2B">
      <w:r>
        <w:separator/>
      </w:r>
    </w:p>
  </w:footnote>
  <w:footnote w:type="continuationSeparator" w:id="0">
    <w:p w14:paraId="17707F5D" w14:textId="77777777" w:rsidR="00690A2B" w:rsidRDefault="00690A2B">
      <w:r>
        <w:continuationSeparator/>
      </w:r>
    </w:p>
  </w:footnote>
  <w:footnote w:type="continuationNotice" w:id="1">
    <w:p w14:paraId="1F9C580A" w14:textId="77777777" w:rsidR="00690A2B" w:rsidRDefault="00690A2B"/>
  </w:footnote>
  <w:footnote w:id="2">
    <w:p w14:paraId="00074752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3247CB90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075924B1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39B9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8C41BF"/>
    <w:multiLevelType w:val="hybridMultilevel"/>
    <w:tmpl w:val="662CF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1857054">
    <w:abstractNumId w:val="6"/>
  </w:num>
  <w:num w:numId="2" w16cid:durableId="1141384366">
    <w:abstractNumId w:val="1"/>
  </w:num>
  <w:num w:numId="3" w16cid:durableId="2112699560">
    <w:abstractNumId w:val="1"/>
    <w:lvlOverride w:ilvl="0">
      <w:lvl w:ilvl="0" w:tplc="60680AE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E52508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3E889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6A1E1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E824B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04F95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DA009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DEBFC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3644C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66286864">
    <w:abstractNumId w:val="3"/>
  </w:num>
  <w:num w:numId="5" w16cid:durableId="2076393160">
    <w:abstractNumId w:val="0"/>
    <w:lvlOverride w:ilvl="0">
      <w:lvl w:ilvl="0" w:tplc="9620D99A">
        <w:start w:val="1"/>
        <w:numFmt w:val="decimal"/>
        <w:lvlText w:val="(%1)"/>
        <w:lvlJc w:val="left"/>
        <w:pPr>
          <w:ind w:left="42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 w16cid:durableId="1037194537">
    <w:abstractNumId w:val="0"/>
    <w:lvlOverride w:ilvl="0">
      <w:lvl w:ilvl="0" w:tplc="9620D99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4420F3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96D69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D66B9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363E4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D46CB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A5B9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1632D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181EF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524561001">
    <w:abstractNumId w:val="4"/>
  </w:num>
  <w:num w:numId="8" w16cid:durableId="1783306427">
    <w:abstractNumId w:val="2"/>
  </w:num>
  <w:num w:numId="9" w16cid:durableId="2105344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767F0"/>
    <w:rsid w:val="000916D9"/>
    <w:rsid w:val="000F0681"/>
    <w:rsid w:val="0011279D"/>
    <w:rsid w:val="001203F5"/>
    <w:rsid w:val="002529A2"/>
    <w:rsid w:val="0027446E"/>
    <w:rsid w:val="0034190A"/>
    <w:rsid w:val="003724CF"/>
    <w:rsid w:val="003C2FD7"/>
    <w:rsid w:val="003D047D"/>
    <w:rsid w:val="003F32F9"/>
    <w:rsid w:val="004147C9"/>
    <w:rsid w:val="00447668"/>
    <w:rsid w:val="00481AA0"/>
    <w:rsid w:val="004C258C"/>
    <w:rsid w:val="004D4B78"/>
    <w:rsid w:val="004D5CAF"/>
    <w:rsid w:val="00526C6F"/>
    <w:rsid w:val="00592CB1"/>
    <w:rsid w:val="005A1688"/>
    <w:rsid w:val="005B429F"/>
    <w:rsid w:val="0066327A"/>
    <w:rsid w:val="00690A2B"/>
    <w:rsid w:val="006A1CBE"/>
    <w:rsid w:val="006B30DD"/>
    <w:rsid w:val="006F1F14"/>
    <w:rsid w:val="00752381"/>
    <w:rsid w:val="008353E9"/>
    <w:rsid w:val="0087547E"/>
    <w:rsid w:val="009006D0"/>
    <w:rsid w:val="009077D8"/>
    <w:rsid w:val="00910459"/>
    <w:rsid w:val="00950DD2"/>
    <w:rsid w:val="009B1EFB"/>
    <w:rsid w:val="00A27F7E"/>
    <w:rsid w:val="00A32B7E"/>
    <w:rsid w:val="00AC7030"/>
    <w:rsid w:val="00AC769E"/>
    <w:rsid w:val="00AE503A"/>
    <w:rsid w:val="00AE6D74"/>
    <w:rsid w:val="00B00AD0"/>
    <w:rsid w:val="00B327B2"/>
    <w:rsid w:val="00B54873"/>
    <w:rsid w:val="00B94C21"/>
    <w:rsid w:val="00BA773C"/>
    <w:rsid w:val="00C23018"/>
    <w:rsid w:val="00C61A21"/>
    <w:rsid w:val="00C63A4A"/>
    <w:rsid w:val="00CB6618"/>
    <w:rsid w:val="00CC2E8F"/>
    <w:rsid w:val="00D14A45"/>
    <w:rsid w:val="00D2166B"/>
    <w:rsid w:val="00E77B65"/>
    <w:rsid w:val="00EC7B4D"/>
    <w:rsid w:val="00F01C7F"/>
    <w:rsid w:val="00F65C61"/>
    <w:rsid w:val="00FE3F30"/>
    <w:rsid w:val="00FF1B02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768E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Jiří Formánek</cp:lastModifiedBy>
  <cp:revision>2</cp:revision>
  <cp:lastPrinted>2024-09-25T07:20:00Z</cp:lastPrinted>
  <dcterms:created xsi:type="dcterms:W3CDTF">2024-10-07T09:23:00Z</dcterms:created>
  <dcterms:modified xsi:type="dcterms:W3CDTF">2024-10-07T09:23:00Z</dcterms:modified>
</cp:coreProperties>
</file>