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2832" w:right="0" w:firstLine="708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Krychnov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Krychnov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Obecně závazná vyhláška obce Krychnov 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Zkladntextodsazen2"/>
        <w:ind w:left="0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Krychnov se na svém zasedání dne 29.11.2024 usneslo vydat na základě § 59 odst. 4 zákona č. 541/2020 Sb., o odpadech (dále jen „zákon 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numPr>
          <w:ilvl w:val="1"/>
          <w:numId w:val="2"/>
        </w:numPr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jc w:val="both"/>
        <w:rPr>
          <w:rFonts w:ascii="Arial" w:hAnsi="Arial" w:cs="Arial"/>
          <w:sz w:val="22"/>
          <w:szCs w:val="22"/>
          <w:lang w:val="cs-CZ" w:eastAsia="zh-CN" w:bidi="ar-SA"/>
        </w:rPr>
      </w:pPr>
      <w:r>
        <w:rPr>
          <w:rFonts w:cs="Arial" w:ascii="Arial" w:hAnsi="Arial"/>
          <w:sz w:val="22"/>
          <w:szCs w:val="22"/>
          <w:lang w:val="cs-CZ" w:eastAsia="zh-CN" w:bidi="ar-SA"/>
        </w:rPr>
        <w:t>Tato vyhláška stanovuje obecní systém odpadového hospodářství na území obce Krychnov (dále jen „obce“).</w:t>
      </w:r>
      <w:r>
        <w:rPr>
          <w:rFonts w:cs="Arial" w:ascii="Arial" w:hAnsi="Arial"/>
          <w:i/>
          <w:color w:val="00B0F0"/>
          <w:sz w:val="22"/>
          <w:szCs w:val="22"/>
          <w:lang w:val="cs-CZ" w:eastAsia="zh-CN" w:bidi="ar-SA"/>
        </w:rPr>
        <w:t xml:space="preserve">. 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0" w:leader="none"/>
        </w:tabs>
        <w:jc w:val="both"/>
        <w:rPr/>
      </w:pPr>
      <w:r>
        <w:rPr>
          <w:rFonts w:cs="Arial" w:ascii="Arial" w:hAnsi="Arial"/>
          <w:i w:val="false"/>
          <w:iCs w:val="false"/>
          <w:color w:val="auto"/>
          <w:sz w:val="22"/>
          <w:szCs w:val="22"/>
          <w:lang w:val="cs-CZ" w:eastAsia="zh-CN" w:bidi="ar-SA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Style w:val="Ukotvenpoznmkypodarou"/>
          <w:rFonts w:cs="Arial" w:ascii="Arial" w:hAnsi="Arial"/>
          <w:i w:val="false"/>
          <w:iCs w:val="false"/>
          <w:color w:val="auto"/>
          <w:sz w:val="22"/>
          <w:szCs w:val="22"/>
          <w:lang w:val="cs-CZ" w:eastAsia="zh-CN" w:bidi="ar-SA"/>
        </w:rPr>
        <w:footnoteReference w:id="2"/>
      </w:r>
      <w:r>
        <w:rPr>
          <w:rStyle w:val="Znakypropoznmkupodarou"/>
          <w:rFonts w:cs="Arial" w:ascii="Arial" w:hAnsi="Arial"/>
          <w:i w:val="false"/>
          <w:iCs w:val="false"/>
          <w:color w:val="auto"/>
          <w:sz w:val="22"/>
          <w:szCs w:val="22"/>
          <w:lang w:val="cs-CZ" w:eastAsia="zh-CN" w:bidi="ar-SA"/>
        </w:rPr>
        <w:t>.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0" w:leader="none"/>
        </w:tabs>
        <w:jc w:val="both"/>
        <w:rPr/>
      </w:pPr>
      <w:r>
        <w:rPr>
          <w:rFonts w:cs="Arial" w:ascii="Arial" w:hAnsi="Arial"/>
          <w:sz w:val="22"/>
          <w:szCs w:val="22"/>
          <w:lang w:val="cs-CZ" w:eastAsia="zh-CN" w:bidi="ar-SA"/>
        </w:rPr>
        <w:t>V okamžiku, kdy osoba zapojená do obecního systému odloží movitou věc nebo odpad, s výjimkou výrobků s ukončenou životností, na místě obcí k tomuto účelu určeném, stává se obec vlastníkem této movité věc nebo odpadu</w:t>
      </w:r>
      <w:r>
        <w:rPr>
          <w:rStyle w:val="Ukotvenpoznmkypodarou"/>
          <w:rStyle w:val="Ukotvenpoznmkypodarou"/>
          <w:rFonts w:cs="Arial" w:ascii="Arial" w:hAnsi="Arial"/>
          <w:sz w:val="22"/>
          <w:szCs w:val="22"/>
          <w:lang w:val="cs-CZ" w:eastAsia="zh-CN" w:bidi="ar-SA"/>
        </w:rPr>
        <w:footnoteReference w:id="3"/>
      </w:r>
      <w:r>
        <w:rPr>
          <w:rFonts w:cs="Arial" w:ascii="Arial" w:hAnsi="Arial"/>
          <w:sz w:val="22"/>
          <w:szCs w:val="22"/>
          <w:lang w:val="cs-CZ" w:eastAsia="zh-CN" w:bidi="ar-SA"/>
        </w:rPr>
        <w:t>.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0" w:leader="none"/>
        </w:tabs>
        <w:jc w:val="both"/>
        <w:rPr/>
      </w:pPr>
      <w:r>
        <w:rPr>
          <w:rFonts w:cs="Arial" w:ascii="Arial" w:hAnsi="Arial"/>
          <w:sz w:val="22"/>
          <w:szCs w:val="22"/>
          <w:lang w:val="cs-CZ" w:eastAsia="zh-CN" w:bidi="ar-SA"/>
        </w:rPr>
        <w:t>Stanoviště sběrných nádob je místo, kde jsou sběrné nádoby trvale nebo přechodně umístěny za účelem dalšího nakládání s komunálním odpadem. Stanoviště sběrných nádob js</w:t>
      </w:r>
      <w:r>
        <w:rPr>
          <w:rFonts w:cs="Arial" w:ascii="Arial" w:hAnsi="Arial"/>
          <w:sz w:val="22"/>
          <w:szCs w:val="22"/>
        </w:rPr>
        <w:t>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odpad na místa určená obcí jsou povinny odděleně soustřeďovat následující složky:</w:t>
      </w:r>
    </w:p>
    <w:p>
      <w:pPr>
        <w:pStyle w:val="Normal"/>
        <w:numPr>
          <w:ilvl w:val="1"/>
          <w:numId w:val="4"/>
        </w:numPr>
        <w:spacing w:before="0" w:after="0"/>
        <w:jc w:val="both"/>
        <w:rPr/>
      </w:pPr>
      <w:r>
        <w:rPr>
          <w:rFonts w:cs="Arial" w:ascii="Arial" w:hAnsi="Arial"/>
          <w:bCs/>
          <w:color w:val="000000"/>
          <w:sz w:val="22"/>
          <w:szCs w:val="22"/>
        </w:rPr>
        <w:t>biologické odpady rostlinného původu</w:t>
      </w:r>
      <w:r>
        <w:rPr>
          <w:rFonts w:cs="Arial" w:ascii="Arial" w:hAnsi="Arial"/>
          <w:bCs/>
          <w:sz w:val="22"/>
          <w:szCs w:val="22"/>
        </w:rPr>
        <w:t>,</w:t>
      </w:r>
    </w:p>
    <w:p>
      <w:pPr>
        <w:pStyle w:val="Odstavecseseznamem"/>
        <w:numPr>
          <w:ilvl w:val="1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papír,</w:t>
      </w:r>
    </w:p>
    <w:p>
      <w:pPr>
        <w:pStyle w:val="Odstavecseseznamem"/>
        <w:numPr>
          <w:ilvl w:val="1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plasty včetně PET lahví, nápojových kartonů a nápojových plechovek,</w:t>
      </w:r>
    </w:p>
    <w:p>
      <w:pPr>
        <w:pStyle w:val="Odstavecseseznamem"/>
        <w:numPr>
          <w:ilvl w:val="1"/>
          <w:numId w:val="4"/>
        </w:numPr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sklo,</w:t>
      </w:r>
    </w:p>
    <w:p>
      <w:pPr>
        <w:pStyle w:val="Odstavecseseznamem"/>
        <w:numPr>
          <w:ilvl w:val="1"/>
          <w:numId w:val="4"/>
        </w:numPr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kovy,</w:t>
      </w:r>
    </w:p>
    <w:p>
      <w:pPr>
        <w:pStyle w:val="Normal"/>
        <w:numPr>
          <w:ilvl w:val="1"/>
          <w:numId w:val="4"/>
        </w:numPr>
        <w:spacing w:before="0" w:after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1"/>
          <w:numId w:val="4"/>
        </w:numPr>
        <w:spacing w:before="0" w:after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objemný odpad,</w:t>
      </w:r>
    </w:p>
    <w:p>
      <w:pPr>
        <w:pStyle w:val="Normal"/>
        <w:numPr>
          <w:ilvl w:val="1"/>
          <w:numId w:val="4"/>
        </w:numPr>
        <w:spacing w:before="0" w:after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jedlé oleje a tuky,</w:t>
      </w:r>
    </w:p>
    <w:p>
      <w:pPr>
        <w:pStyle w:val="Normal"/>
        <w:numPr>
          <w:ilvl w:val="1"/>
          <w:numId w:val="4"/>
        </w:numPr>
        <w:spacing w:before="0" w:after="0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textil,</w:t>
      </w:r>
    </w:p>
    <w:p>
      <w:pPr>
        <w:pStyle w:val="Normal"/>
        <w:numPr>
          <w:ilvl w:val="1"/>
          <w:numId w:val="4"/>
        </w:numPr>
        <w:spacing w:before="0" w:after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směsný komunální odpad.</w:t>
      </w:r>
    </w:p>
    <w:p>
      <w:pPr>
        <w:pStyle w:val="Odsazentlatextu"/>
        <w:numPr>
          <w:ilvl w:val="0"/>
          <w:numId w:val="17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odst. 1) písm. a), b), c), d), e), f), g), h) a i).</w:t>
      </w:r>
    </w:p>
    <w:p>
      <w:pPr>
        <w:pStyle w:val="Odsazentlatextu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nádob.</w:t>
      </w:r>
    </w:p>
    <w:p>
      <w:pPr>
        <w:pStyle w:val="Odsazentlatextu"/>
        <w:ind w:left="720" w:right="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right="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adpis2"/>
        <w:numPr>
          <w:ilvl w:val="1"/>
          <w:numId w:val="2"/>
        </w:numPr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Soustřeďování papíru, skla, kovů a textilu.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40" w:leader="none"/>
          <w:tab w:val="left" w:pos="927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Papír, sklo, kovy a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i w:val="false"/>
          <w:iCs w:val="false"/>
          <w:sz w:val="22"/>
          <w:szCs w:val="22"/>
        </w:rPr>
        <w:t>, kterými j</w:t>
      </w:r>
      <w:r>
        <w:rPr>
          <w:rFonts w:cs="Arial" w:ascii="Arial" w:hAnsi="Arial"/>
          <w:sz w:val="22"/>
          <w:szCs w:val="22"/>
        </w:rPr>
        <w:t>sou kontejnery umístěné u autobusové zastávky na návsi obce.</w:t>
      </w:r>
    </w:p>
    <w:p>
      <w:pPr>
        <w:pStyle w:val="NormlnIMP"/>
        <w:numPr>
          <w:ilvl w:val="0"/>
          <w:numId w:val="5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Odstavecseseznamem"/>
        <w:numPr>
          <w:ilvl w:val="1"/>
          <w:numId w:val="5"/>
        </w:numPr>
        <w:spacing w:lineRule="auto" w:line="240" w:before="0" w:after="0"/>
        <w:contextualSpacing/>
        <w:rPr>
          <w:rFonts w:ascii="Arial" w:hAnsi="Arial" w:cs="Arial"/>
          <w:bCs/>
          <w:i w:val="false"/>
          <w:i w:val="false"/>
          <w:iCs w:val="false"/>
          <w:color w:val="000000"/>
        </w:rPr>
      </w:pPr>
      <w:r>
        <w:rPr>
          <w:rFonts w:cs="Arial" w:ascii="Arial" w:hAnsi="Arial"/>
          <w:bCs/>
          <w:i w:val="false"/>
          <w:iCs w:val="false"/>
          <w:color w:val="000000"/>
        </w:rPr>
        <w:t>Papír, barva modrá.</w:t>
      </w:r>
    </w:p>
    <w:p>
      <w:pPr>
        <w:pStyle w:val="Odstavecseseznamem"/>
        <w:numPr>
          <w:ilvl w:val="1"/>
          <w:numId w:val="5"/>
        </w:numPr>
        <w:spacing w:lineRule="auto" w:line="240" w:before="0" w:after="0"/>
        <w:contextualSpacing/>
        <w:rPr>
          <w:rFonts w:ascii="Arial" w:hAnsi="Arial" w:cs="Arial"/>
          <w:bCs/>
          <w:i w:val="false"/>
          <w:i w:val="false"/>
          <w:iCs w:val="false"/>
          <w:color w:val="000000"/>
        </w:rPr>
      </w:pPr>
      <w:r>
        <w:rPr>
          <w:rFonts w:cs="Arial" w:ascii="Arial" w:hAnsi="Arial"/>
          <w:bCs/>
          <w:i w:val="false"/>
          <w:iCs w:val="false"/>
          <w:color w:val="000000"/>
        </w:rPr>
        <w:t>Sklo, barva bílá a zelená.</w:t>
      </w:r>
    </w:p>
    <w:p>
      <w:pPr>
        <w:pStyle w:val="Odstavecseseznamem"/>
        <w:numPr>
          <w:ilvl w:val="1"/>
          <w:numId w:val="5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 w:val="false"/>
          <w:iCs w:val="false"/>
          <w:color w:val="000000"/>
        </w:rPr>
        <w:t>Kov</w:t>
      </w:r>
      <w:r>
        <w:rPr>
          <w:rFonts w:cs="Arial" w:ascii="Arial" w:hAnsi="Arial"/>
          <w:bCs/>
          <w:i w:val="false"/>
          <w:iCs w:val="false"/>
          <w:color w:val="000000"/>
        </w:rPr>
        <w:t>y</w:t>
      </w:r>
      <w:r>
        <w:rPr>
          <w:rFonts w:cs="Arial" w:ascii="Arial" w:hAnsi="Arial"/>
          <w:bCs/>
          <w:i w:val="false"/>
          <w:iCs w:val="false"/>
          <w:color w:val="000000"/>
        </w:rPr>
        <w:t>, barva  šedá.</w:t>
      </w:r>
    </w:p>
    <w:p>
      <w:pPr>
        <w:pStyle w:val="Odstavecseseznamem"/>
        <w:numPr>
          <w:ilvl w:val="1"/>
          <w:numId w:val="5"/>
        </w:numPr>
        <w:spacing w:lineRule="auto" w:line="240" w:before="0" w:after="0"/>
        <w:contextualSpacing/>
        <w:rPr>
          <w:rFonts w:ascii="Arial" w:hAnsi="Arial" w:cs="Arial"/>
          <w:bCs/>
          <w:i w:val="false"/>
          <w:i w:val="false"/>
          <w:iCs w:val="false"/>
          <w:color w:val="000000"/>
        </w:rPr>
      </w:pPr>
      <w:r>
        <w:rPr>
          <w:rFonts w:cs="Arial" w:ascii="Arial" w:hAnsi="Arial"/>
          <w:bCs/>
          <w:i w:val="false"/>
          <w:iCs w:val="false"/>
          <w:color w:val="000000"/>
        </w:rPr>
        <w:t>Textil, kovový kontejner.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2"/>
        <w:numPr>
          <w:ilvl w:val="1"/>
          <w:numId w:val="2"/>
        </w:numPr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numPr>
          <w:ilvl w:val="1"/>
          <w:numId w:val="2"/>
        </w:numPr>
        <w:jc w:val="center"/>
        <w:rPr/>
      </w:pPr>
      <w:r>
        <w:rPr>
          <w:rFonts w:eastAsia="Arial"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Soustřeďování plastů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Plasty 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včetně PET lahví, nápojových kartonů a nápojových plechovek se odkládají do sběrných nádob, kterými jsou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černé popelnice se žlutým víkem o objemu 120L nebo 240L,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umístěné v jednotlivých nemovitostech.</w:t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Harmonogram svozů plastu je zveřejňován na úřední desce obce a na elektronické úřední desce obce a vhozením vytištěného harmonogramu  do poštovních schránek.</w:t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/>
          <w:color w:val="000000"/>
          <w:sz w:val="22"/>
          <w:szCs w:val="22"/>
          <w:u w:val="none"/>
        </w:rPr>
        <w:t xml:space="preserve">Plasty lze též odkládat do sběrné nádoby, kterou je černá popelnice se žlutým víkem a nápisem Plasty, umístěná u budovy Obecního úřadu, Krychnov 57. </w:t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/>
          <w:color w:val="000000"/>
          <w:sz w:val="22"/>
          <w:szCs w:val="22"/>
          <w:u w:val="none"/>
        </w:rPr>
        <w:t>Soustřeďování plastů podléhá požadavkům stanoveným v čl.3 odst. 3) a 4).</w:t>
      </w:r>
    </w:p>
    <w:p>
      <w:pPr>
        <w:pStyle w:val="Nadpis2"/>
        <w:numPr>
          <w:ilvl w:val="1"/>
          <w:numId w:val="2"/>
        </w:numPr>
        <w:jc w:val="center"/>
        <w:rPr/>
      </w:pPr>
      <w:r>
        <w:rPr/>
      </w:r>
    </w:p>
    <w:p>
      <w:pPr>
        <w:pStyle w:val="Nadpis2"/>
        <w:numPr>
          <w:ilvl w:val="1"/>
          <w:numId w:val="2"/>
        </w:numPr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5</w:t>
      </w:r>
    </w:p>
    <w:p>
      <w:pPr>
        <w:pStyle w:val="Nadpis2"/>
        <w:numPr>
          <w:ilvl w:val="1"/>
          <w:numId w:val="2"/>
        </w:numPr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Soustřeďování směsného komunálního odpadu </w:t>
      </w:r>
    </w:p>
    <w:p>
      <w:pPr>
        <w:pStyle w:val="Normal"/>
        <w:numPr>
          <w:ilvl w:val="0"/>
          <w:numId w:val="15"/>
        </w:numPr>
        <w:ind w:left="720" w:right="0" w:hanging="360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Směsný komunální odpad se odkládá do sběrných nádob, kterými jsou černé popelnice o objemu 120L nebo 240L, </w:t>
      </w:r>
      <w:r>
        <w:rPr>
          <w:rFonts w:cs="Arial" w:ascii="Arial" w:hAnsi="Arial"/>
          <w:b w:val="false"/>
          <w:bCs/>
          <w:color w:val="000000"/>
          <w:sz w:val="22"/>
          <w:szCs w:val="22"/>
          <w:u w:val="none"/>
        </w:rPr>
        <w:t>umístěné v jednotlivých nemovitostech.</w:t>
      </w:r>
    </w:p>
    <w:p>
      <w:pPr>
        <w:pStyle w:val="Normal"/>
        <w:numPr>
          <w:ilvl w:val="0"/>
          <w:numId w:val="15"/>
        </w:numPr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Harmonogram svozů směsného komunálního odpadu  je zveřejňován na úřední desce obce a na elektronické úřední desce obce a vhozením vytištěného harmonogramu  do poštovních schránek.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rFonts w:cs="Arial" w:ascii="Arial" w:hAnsi="Arial"/>
          <w:b w:val="false"/>
          <w:bCs/>
          <w:color w:val="000000"/>
          <w:sz w:val="22"/>
          <w:szCs w:val="22"/>
          <w:u w:val="none"/>
        </w:rPr>
        <w:t xml:space="preserve">Směsný komunální odpad lze též odkládat do sběrné nádoby, kterou je černá popelnice, umístěná u budovy Obecního úřadu, Krychnov 57. </w:t>
      </w:r>
    </w:p>
    <w:p>
      <w:pPr>
        <w:pStyle w:val="Normal"/>
        <w:numPr>
          <w:ilvl w:val="0"/>
          <w:numId w:val="15"/>
        </w:numPr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/>
          <w:color w:val="000000"/>
          <w:sz w:val="22"/>
          <w:szCs w:val="22"/>
          <w:u w:val="none"/>
        </w:rPr>
        <w:t>Soustřeďování směsného komunálního odpadu podléhá požadavkům stanoveným v čl.3 odst. 3 a 4.</w:t>
      </w:r>
    </w:p>
    <w:p>
      <w:pPr>
        <w:pStyle w:val="Normal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adpis2"/>
        <w:numPr>
          <w:ilvl w:val="1"/>
          <w:numId w:val="2"/>
        </w:numPr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6</w:t>
      </w:r>
    </w:p>
    <w:p>
      <w:pPr>
        <w:pStyle w:val="Nadpis2"/>
        <w:numPr>
          <w:ilvl w:val="1"/>
          <w:numId w:val="2"/>
        </w:numPr>
        <w:ind w:left="360" w:right="0" w:hanging="0"/>
        <w:jc w:val="center"/>
        <w:rPr>
          <w:rFonts w:ascii="Arial" w:hAnsi="Arial" w:eastAsia="Arial" w:cs="Arial"/>
          <w:b/>
          <w:b/>
          <w:bCs/>
          <w:sz w:val="22"/>
          <w:szCs w:val="22"/>
          <w:u w:val="none"/>
        </w:rPr>
      </w:pPr>
      <w:r>
        <w:rPr>
          <w:rFonts w:eastAsia="Arial"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  <w:u w:val="none"/>
        </w:rPr>
        <w:t xml:space="preserve">Zpracování biologického odpadu rostlinného původu </w:t>
      </w:r>
    </w:p>
    <w:p>
      <w:pPr>
        <w:pStyle w:val="Normal"/>
        <w:numPr>
          <w:ilvl w:val="0"/>
          <w:numId w:val="8"/>
        </w:numPr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Osoby přednostně zpracovávají celoročně biologický odpad rostlinného původu  kompostováním s využitím domácích plastových kompostérů, které obec přidělila do každé nemovitosti.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Svoz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biologického odpadu rostlinného původu</w:t>
      </w:r>
      <w:r>
        <w:rPr>
          <w:rFonts w:cs="Arial" w:ascii="Arial" w:hAnsi="Arial"/>
          <w:sz w:val="22"/>
          <w:szCs w:val="22"/>
        </w:rPr>
        <w:t xml:space="preserve"> je zajišťován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dvakrát ročně </w:t>
      </w:r>
      <w:r>
        <w:rPr>
          <w:rFonts w:cs="Arial" w:ascii="Arial" w:hAnsi="Arial"/>
          <w:sz w:val="22"/>
          <w:szCs w:val="22"/>
        </w:rPr>
        <w:t>jeho odebíráním na předem vyhlášeném přechodném stanovišti přímo do zvláštního sběrného kontejneru k tomuto účelu určenému.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cs="Arial" w:ascii="Arial" w:hAnsi="Arial"/>
          <w:sz w:val="22"/>
          <w:szCs w:val="22"/>
        </w:rPr>
        <w:t>Informace o svozu jsou zveřejňovány na úřední desce obce a elektronické úřední desce obce a vhozením informačního letáku do poštovních schránek.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B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iologick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ý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odpad rostlinného původu</w:t>
      </w:r>
      <w:r>
        <w:rPr>
          <w:rFonts w:cs="Arial" w:ascii="Arial" w:hAnsi="Arial"/>
          <w:b w:val="false"/>
          <w:bCs/>
          <w:color w:val="000000"/>
          <w:sz w:val="22"/>
          <w:szCs w:val="22"/>
          <w:u w:val="none"/>
        </w:rPr>
        <w:t xml:space="preserve"> lze též odkládat do sběrné nádoby, kterou je </w:t>
      </w:r>
      <w:r>
        <w:rPr>
          <w:rFonts w:cs="Arial" w:ascii="Arial" w:hAnsi="Arial"/>
          <w:b w:val="false"/>
          <w:bCs/>
          <w:color w:val="000000"/>
          <w:sz w:val="22"/>
          <w:szCs w:val="22"/>
          <w:u w:val="none"/>
        </w:rPr>
        <w:t>hněd</w:t>
      </w:r>
      <w:r>
        <w:rPr>
          <w:rFonts w:cs="Arial" w:ascii="Arial" w:hAnsi="Arial"/>
          <w:b w:val="false"/>
          <w:bCs/>
          <w:color w:val="000000"/>
          <w:sz w:val="22"/>
          <w:szCs w:val="22"/>
          <w:u w:val="none"/>
        </w:rPr>
        <w:t xml:space="preserve">á popelnice, umístěná u budovy Obecního úřadu, Krychnov 57. 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Soustřeďování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biologického odpadu rostlinného původu do zvláštního sběrného kontejneru  </w:t>
      </w:r>
      <w:r>
        <w:rPr>
          <w:rFonts w:cs="Arial" w:ascii="Arial" w:hAnsi="Arial"/>
          <w:sz w:val="22"/>
          <w:szCs w:val="22"/>
        </w:rPr>
        <w:t>podléhá požadavkům stanoveným v čl. 3 odst. 3) a 4).</w:t>
      </w:r>
    </w:p>
    <w:p>
      <w:pPr>
        <w:pStyle w:val="Normal"/>
        <w:ind w:left="720" w:right="0" w:hanging="0"/>
        <w:jc w:val="both"/>
        <w:rPr/>
      </w:pPr>
      <w:r>
        <w:rPr/>
      </w:r>
    </w:p>
    <w:p>
      <w:pPr>
        <w:pStyle w:val="Nadpis2"/>
        <w:numPr>
          <w:ilvl w:val="1"/>
          <w:numId w:val="2"/>
        </w:numPr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7</w:t>
      </w:r>
    </w:p>
    <w:p>
      <w:pPr>
        <w:pStyle w:val="Nadpis2"/>
        <w:numPr>
          <w:ilvl w:val="1"/>
          <w:numId w:val="2"/>
        </w:numPr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Soustřeďování jedlých olejů a tuků</w:t>
      </w:r>
    </w:p>
    <w:p>
      <w:pPr>
        <w:pStyle w:val="Normal"/>
        <w:numPr>
          <w:ilvl w:val="0"/>
          <w:numId w:val="14"/>
        </w:numPr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Jedlé oleje a tuky se</w:t>
      </w: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soustřeďují v uzavřených PET láhvích, které se umísťují  na sběrné nádoby  v rámci svozů  směsného komunálního odpadu nebo plastů.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1440" w:right="0" w:hanging="0"/>
        <w:jc w:val="both"/>
        <w:rPr/>
      </w:pPr>
      <w:r>
        <w:rPr/>
      </w:r>
    </w:p>
    <w:p>
      <w:pPr>
        <w:pStyle w:val="Nadpis2"/>
        <w:numPr>
          <w:ilvl w:val="1"/>
          <w:numId w:val="2"/>
        </w:numPr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8</w:t>
      </w:r>
    </w:p>
    <w:p>
      <w:pPr>
        <w:pStyle w:val="Nadpis2"/>
        <w:numPr>
          <w:ilvl w:val="1"/>
          <w:numId w:val="2"/>
        </w:numPr>
        <w:jc w:val="center"/>
        <w:rPr/>
      </w:pPr>
      <w:r>
        <w:rPr>
          <w:rFonts w:eastAsia="Arial"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objemného odpadu</w:t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objemného odpadu je zajišťován dvakrát ročně jeho odebíráním na předem vyhlášeném přechodném stanovišti přímo do zvláštního sběrného kontejneru k tomuto účelu určenému. </w:t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Informace o svozu jsou zveřejňovány na úřední desce obce a elektronické úřední desce obce a vhozením informačního letáku do poštovních schránek.</w:t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objemného odpadu podléhá požadavkům stanoveným v čl. 3 odst. 3) a 4).</w:t>
      </w:r>
    </w:p>
    <w:p>
      <w:pPr>
        <w:pStyle w:val="Normal"/>
        <w:ind w:left="360" w:right="0" w:hanging="0"/>
        <w:jc w:val="center"/>
        <w:rPr/>
      </w:pPr>
      <w:r>
        <w:rPr/>
      </w:r>
    </w:p>
    <w:p>
      <w:pPr>
        <w:pStyle w:val="Nadpis2"/>
        <w:numPr>
          <w:ilvl w:val="1"/>
          <w:numId w:val="2"/>
        </w:numPr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9</w:t>
      </w:r>
    </w:p>
    <w:p>
      <w:pPr>
        <w:pStyle w:val="Nadpis2"/>
        <w:numPr>
          <w:ilvl w:val="1"/>
          <w:numId w:val="2"/>
        </w:numPr>
        <w:ind w:left="360" w:right="0" w:hanging="0"/>
        <w:jc w:val="center"/>
        <w:rPr/>
      </w:pPr>
      <w:r>
        <w:rPr>
          <w:rFonts w:eastAsia="Arial"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nebezpečného odpadu</w:t>
      </w:r>
    </w:p>
    <w:p>
      <w:pPr>
        <w:pStyle w:val="Normal"/>
        <w:numPr>
          <w:ilvl w:val="0"/>
          <w:numId w:val="9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Svoz nebezpečného odpadu je zajišťován </w:t>
      </w:r>
      <w:r>
        <w:rPr>
          <w:rFonts w:cs="Arial" w:ascii="Arial" w:hAnsi="Arial"/>
          <w:iCs/>
          <w:sz w:val="22"/>
          <w:szCs w:val="22"/>
        </w:rPr>
        <w:t>dvakrát ročně</w:t>
      </w:r>
      <w:r>
        <w:rPr>
          <w:rFonts w:cs="Arial" w:ascii="Arial" w:hAnsi="Arial"/>
          <w:sz w:val="22"/>
          <w:szCs w:val="22"/>
        </w:rPr>
        <w:t xml:space="preserve"> sběrným vozidlem firmy NYKOS a.s. v předem vyhlášeném čase na předem vyhlášeném přechodném stanovišti. </w:t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Informace o svozu jsou zveřejňovány na úřední desce obce a elektronické úřední desce obce a vhozením informačního letáku do poštovních schránek.</w:t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Soustřeďování nebezpečného odpadu podléhá požadavkům stanoveným v čl. 3 odst. 3) a 4).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10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Předávání odpadu  v sběrném dvoře firmy NYKOS</w:t>
      </w:r>
    </w:p>
    <w:p>
      <w:pPr>
        <w:pStyle w:val="Default"/>
        <w:numPr>
          <w:ilvl w:val="0"/>
          <w:numId w:val="12"/>
        </w:numPr>
        <w:jc w:val="both"/>
        <w:rPr/>
      </w:pPr>
      <w:r>
        <w:rPr>
          <w:rFonts w:cs="Arial"/>
          <w:color w:val="000000"/>
          <w:sz w:val="22"/>
          <w:szCs w:val="22"/>
        </w:rPr>
        <w:t>Kromě odevzdávání odpadu způsoby popsanými v čl. 3 až 9 této vyhlášky mohou fyzické osoby po předložení podepsaného potvrzení od obce odevzdávat ve sběrném dvoře v areálu firmy NYKOS a.s., Ždánice 170, v době určené harmonogramem firmy NYKOS následující složky odpadu:</w:t>
      </w:r>
    </w:p>
    <w:p>
      <w:pPr>
        <w:pStyle w:val="Odstavecseseznamem"/>
        <w:numPr>
          <w:ilvl w:val="1"/>
          <w:numId w:val="12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papír,</w:t>
      </w:r>
    </w:p>
    <w:p>
      <w:pPr>
        <w:pStyle w:val="Odstavecseseznamem"/>
        <w:numPr>
          <w:ilvl w:val="1"/>
          <w:numId w:val="12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plasty včetně PET lahví, nápojových kartonů a nápojových plechovek,</w:t>
      </w:r>
    </w:p>
    <w:p>
      <w:pPr>
        <w:pStyle w:val="Odstavecseseznamem"/>
        <w:numPr>
          <w:ilvl w:val="1"/>
          <w:numId w:val="12"/>
        </w:numPr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sklo,</w:t>
      </w:r>
    </w:p>
    <w:p>
      <w:pPr>
        <w:pStyle w:val="Odstavecseseznamem"/>
        <w:numPr>
          <w:ilvl w:val="1"/>
          <w:numId w:val="12"/>
        </w:numPr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kovy,</w:t>
      </w:r>
    </w:p>
    <w:p>
      <w:pPr>
        <w:pStyle w:val="Normal"/>
        <w:numPr>
          <w:ilvl w:val="1"/>
          <w:numId w:val="12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1"/>
          <w:numId w:val="12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objemný odpad,</w:t>
      </w:r>
    </w:p>
    <w:p>
      <w:pPr>
        <w:pStyle w:val="Normal"/>
        <w:numPr>
          <w:ilvl w:val="1"/>
          <w:numId w:val="12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jedlé oleje a tuky,</w:t>
      </w:r>
    </w:p>
    <w:p>
      <w:pPr>
        <w:pStyle w:val="Normal"/>
        <w:numPr>
          <w:ilvl w:val="1"/>
          <w:numId w:val="12"/>
        </w:numPr>
        <w:jc w:val="both"/>
        <w:rPr/>
      </w:pPr>
      <w:r>
        <w:rPr>
          <w:rFonts w:cs="Arial" w:ascii="Arial" w:hAnsi="Arial"/>
          <w:iCs/>
          <w:color w:val="000000"/>
          <w:sz w:val="22"/>
          <w:szCs w:val="22"/>
        </w:rPr>
        <w:t>textil.</w:t>
      </w:r>
    </w:p>
    <w:p>
      <w:pPr>
        <w:pStyle w:val="Default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11</w:t>
      </w:r>
    </w:p>
    <w:p>
      <w:pPr>
        <w:pStyle w:val="Nadpis2"/>
        <w:numPr>
          <w:ilvl w:val="1"/>
          <w:numId w:val="2"/>
        </w:numPr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 movitými věcmi v rámci předcházení vzniku odpadu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v rámci předcházení vzniku odpadu za účelem jejich opětovného použití nakládá s těmito movitými věcmi:</w:t>
      </w:r>
    </w:p>
    <w:p>
      <w:pPr>
        <w:pStyle w:val="Normal"/>
        <w:numPr>
          <w:ilvl w:val="1"/>
          <w:numId w:val="11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oděvy a textil.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Movité věci uvedené v odst. 1) lze odkládat do bílého kovového  kontejneru firmy TextilEco u autobusové zastávky na návsi obce.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Movitá věc musí být předána v takovém stavu, aby bylo možné její opětovné použití.</w:t>
      </w:r>
    </w:p>
    <w:p>
      <w:pPr>
        <w:pStyle w:val="Normal"/>
        <w:tabs>
          <w:tab w:val="clear" w:pos="708"/>
          <w:tab w:val="left" w:pos="709" w:leader="none"/>
        </w:tabs>
        <w:ind w:left="720" w:right="0" w:hanging="0"/>
        <w:jc w:val="both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12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Nakládání se  stavebním a demoličním odpadem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Stavebním odpadem a demoličním odpadem se rozumí odpad vznikající při stavebních a demoličních činnostech nepodnikajících fyzických osob. 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Stavební a demoliční odpad není komunálním odpadem.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09" w:leader="none"/>
        </w:tabs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Stavební odpad a demoliční odpad lze použít, předat či odstranit pouze způsobem stanoveným v zákoně o odpadech.</w:t>
      </w:r>
    </w:p>
    <w:p>
      <w:pPr>
        <w:pStyle w:val="Normal"/>
        <w:ind w:left="360" w:right="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13</w:t>
      </w:r>
    </w:p>
    <w:p>
      <w:pPr>
        <w:pStyle w:val="Normal"/>
        <w:ind w:left="360" w:right="0" w:hanging="0"/>
        <w:jc w:val="center"/>
        <w:rPr>
          <w:rFonts w:ascii="Arial" w:hAnsi="Arial" w:cs="Arial"/>
          <w:b/>
          <w:b/>
          <w:sz w:val="22"/>
          <w:szCs w:val="22"/>
          <w:u w:val="none"/>
        </w:rPr>
      </w:pPr>
      <w:r>
        <w:rPr>
          <w:rFonts w:cs="Arial" w:ascii="Arial" w:hAnsi="Arial"/>
          <w:b/>
          <w:sz w:val="22"/>
          <w:szCs w:val="22"/>
          <w:u w:val="none"/>
        </w:rPr>
        <w:t>Závěrečná ustanovení</w:t>
      </w:r>
    </w:p>
    <w:p>
      <w:pPr>
        <w:pStyle w:val="Normal"/>
        <w:numPr>
          <w:ilvl w:val="0"/>
          <w:numId w:val="13"/>
        </w:numPr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Nabytím účinnosti této vyhlášky se zrušuje Obecně závazná vyhláška obce Krychnov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o stanovení obecního systému odpadového hospodářství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  <w:br/>
        <w:t xml:space="preserve">č. 1/2021. </w:t>
      </w:r>
    </w:p>
    <w:p>
      <w:pPr>
        <w:pStyle w:val="Normal"/>
        <w:numPr>
          <w:ilvl w:val="0"/>
          <w:numId w:val="13"/>
        </w:numPr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Tato vyhláška nabývá účinnosti počátkem  patnáctého dne následujícího po jejím vyhlášení.</w:t>
      </w:r>
    </w:p>
    <w:p>
      <w:pPr>
        <w:pStyle w:val="Normal"/>
        <w:ind w:left="0" w:right="0" w:firstLine="708"/>
        <w:rPr>
          <w:rFonts w:ascii="Arial" w:hAnsi="Arial" w:cs="Arial"/>
          <w:b/>
          <w:b/>
          <w:bCs/>
          <w:i/>
          <w:i/>
          <w:sz w:val="22"/>
          <w:szCs w:val="22"/>
        </w:rPr>
      </w:pPr>
      <w:r>
        <w:rPr>
          <w:rFonts w:cs="Arial" w:ascii="Arial" w:hAnsi="Arial"/>
          <w:b/>
          <w:bCs/>
          <w:i/>
          <w:sz w:val="22"/>
          <w:szCs w:val="22"/>
        </w:rPr>
      </w:r>
    </w:p>
    <w:p>
      <w:pPr>
        <w:pStyle w:val="Normal"/>
        <w:ind w:left="0" w:right="0" w:firstLine="708"/>
        <w:rPr>
          <w:rFonts w:ascii="Arial" w:hAnsi="Arial" w:cs="Arial"/>
          <w:b/>
          <w:b/>
          <w:bCs/>
          <w:i/>
          <w:i/>
          <w:sz w:val="22"/>
          <w:szCs w:val="22"/>
        </w:rPr>
      </w:pPr>
      <w:r>
        <w:rPr>
          <w:rFonts w:cs="Arial" w:ascii="Arial" w:hAnsi="Arial"/>
          <w:b/>
          <w:bCs/>
          <w:i/>
          <w:sz w:val="22"/>
          <w:szCs w:val="22"/>
        </w:rPr>
      </w:r>
    </w:p>
    <w:p>
      <w:pPr>
        <w:pStyle w:val="Normal"/>
        <w:ind w:left="0" w:right="0" w:firstLine="708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ind w:left="708" w:right="0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ab/>
        <w:tab/>
        <w:t>………………..</w:t>
      </w:r>
    </w:p>
    <w:p>
      <w:pPr>
        <w:pStyle w:val="Normal"/>
        <w:ind w:left="0" w:right="0" w:firstLine="708"/>
        <w:rPr/>
      </w:pPr>
      <w:r>
        <w:rPr>
          <w:rFonts w:cs="Arial" w:ascii="Arial" w:hAnsi="Arial"/>
          <w:bCs/>
          <w:i/>
          <w:sz w:val="22"/>
          <w:szCs w:val="22"/>
        </w:rPr>
        <w:t xml:space="preserve">Romana Šafránková  </w:t>
      </w:r>
      <w:r>
        <w:rPr>
          <w:rFonts w:cs="Arial" w:ascii="Arial" w:hAnsi="Arial"/>
          <w:bCs/>
          <w:sz w:val="22"/>
          <w:szCs w:val="22"/>
        </w:rPr>
        <w:tab/>
        <w:tab/>
        <w:tab/>
        <w:tab/>
        <w:tab/>
        <w:tab/>
      </w:r>
      <w:r>
        <w:rPr>
          <w:rFonts w:cs="Arial" w:ascii="Arial" w:hAnsi="Arial"/>
          <w:bCs/>
          <w:i/>
          <w:sz w:val="22"/>
          <w:szCs w:val="22"/>
        </w:rPr>
        <w:t>Petr Heverle</w:t>
      </w:r>
    </w:p>
    <w:p>
      <w:pPr>
        <w:pStyle w:val="Normal"/>
        <w:ind w:left="708" w:right="0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místostarostka</w:t>
        <w:tab/>
        <w:tab/>
        <w:tab/>
        <w:tab/>
        <w:tab/>
        <w:tab/>
        <w:tab/>
        <w:t>starosta</w:t>
      </w:r>
    </w:p>
    <w:p>
      <w:pPr>
        <w:pStyle w:val="Normal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1418" w:footer="709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808"/>
        </w:tabs>
        <w:ind w:left="808" w:hanging="360"/>
      </w:pPr>
    </w:lvl>
    <w:lvl w:ilvl="2">
      <w:start w:val="1"/>
      <w:numFmt w:val="lowerRoman"/>
      <w:lvlText w:val=" %3."/>
      <w:lvlJc w:val="left"/>
      <w:pPr>
        <w:tabs>
          <w:tab w:val="num" w:pos="1168"/>
        </w:tabs>
        <w:ind w:left="1168" w:hanging="360"/>
      </w:pPr>
    </w:lvl>
    <w:lvl w:ilvl="3">
      <w:start w:val="1"/>
      <w:numFmt w:val="upperLetter"/>
      <w:lvlText w:val=" %4."/>
      <w:lvlJc w:val="left"/>
      <w:pPr>
        <w:tabs>
          <w:tab w:val="num" w:pos="1528"/>
        </w:tabs>
        <w:ind w:left="1528" w:hanging="360"/>
      </w:pPr>
    </w:lvl>
    <w:lvl w:ilvl="4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248"/>
        </w:tabs>
        <w:ind w:left="2248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sz w:val="22"/>
        <w:i w:val="false"/>
        <w:b/>
        <w:iCs w:val="false"/>
        <w:bCs/>
        <w:rFonts w:ascii="Arial" w:hAnsi="Arial" w:cs="Arial"/>
      </w:r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i w:val="false"/>
        <w:b/>
        <w:iCs w:val="false"/>
        <w:bCs/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  <w:highlight w:val="yellow"/>
        <w:rFonts w:cs="Arial"/>
      </w:r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Arial"/>
      </w:r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808"/>
        </w:tabs>
        <w:ind w:left="808" w:hanging="360"/>
      </w:pPr>
    </w:lvl>
    <w:lvl w:ilvl="2">
      <w:start w:val="1"/>
      <w:numFmt w:val="lowerRoman"/>
      <w:lvlText w:val=" %3."/>
      <w:lvlJc w:val="left"/>
      <w:pPr>
        <w:tabs>
          <w:tab w:val="num" w:pos="1168"/>
        </w:tabs>
        <w:ind w:left="1168" w:hanging="360"/>
      </w:pPr>
    </w:lvl>
    <w:lvl w:ilvl="3">
      <w:start w:val="1"/>
      <w:numFmt w:val="upperLetter"/>
      <w:lvlText w:val=" %4."/>
      <w:lvlJc w:val="left"/>
      <w:pPr>
        <w:tabs>
          <w:tab w:val="num" w:pos="1528"/>
        </w:tabs>
        <w:ind w:left="1528" w:hanging="360"/>
      </w:pPr>
    </w:lvl>
    <w:lvl w:ilvl="4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248"/>
        </w:tabs>
        <w:ind w:left="2248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cs="Symbol" w:hint="default"/>
        <w:rFonts w:cs="Symbol"/>
      </w:r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i w:val="false"/>
        <w:iCs w:val="false"/>
        <w:bCs/>
        <w:rFonts w:cs="Arial"/>
      </w:r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i/>
      <w:iCs w:val="false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>
      <w:rFonts w:ascii="Symbol" w:hAnsi="Symbol" w:cs="Symbol"/>
    </w:rPr>
  </w:style>
  <w:style w:type="character" w:styleId="WW8Num3z0">
    <w:name w:val="WW8Num3z0"/>
    <w:qFormat/>
    <w:rPr>
      <w:rFonts w:ascii="Arial" w:hAnsi="Arial" w:cs="Arial"/>
      <w:sz w:val="22"/>
      <w:szCs w:val="22"/>
    </w:rPr>
  </w:style>
  <w:style w:type="character" w:styleId="WW8Num3z1">
    <w:name w:val="WW8Num3z1"/>
    <w:qFormat/>
    <w:rPr>
      <w:rFonts w:ascii="Arial" w:hAnsi="Arial" w:cs="Arial"/>
      <w:bCs/>
      <w:i/>
      <w:iCs/>
      <w:sz w:val="22"/>
      <w:szCs w:val="22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>
      <w:rFonts w:ascii="Symbol" w:hAnsi="Symbol" w:cs="Symbol"/>
    </w:rPr>
  </w:style>
  <w:style w:type="character" w:styleId="WW8Num4z0">
    <w:name w:val="WW8Num4z0"/>
    <w:qFormat/>
    <w:rPr>
      <w:rFonts w:ascii="Arial" w:hAnsi="Arial" w:cs="Arial"/>
      <w:sz w:val="22"/>
      <w:szCs w:val="22"/>
    </w:rPr>
  </w:style>
  <w:style w:type="character" w:styleId="WW8Num4z1">
    <w:name w:val="WW8Num4z1"/>
    <w:qFormat/>
    <w:rPr>
      <w:rFonts w:ascii="Arial" w:hAnsi="Arial" w:cs="Arial"/>
      <w:bCs/>
      <w:i w:val="false"/>
      <w:iCs w:val="false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Arial"/>
      <w:b w:val="false"/>
      <w:bCs/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Arial" w:hAnsi="Arial" w:cs="Arial"/>
      <w:b w:val="false"/>
      <w:bCs/>
      <w:sz w:val="22"/>
      <w:szCs w:val="22"/>
    </w:rPr>
  </w:style>
  <w:style w:type="character" w:styleId="WW8Num6z1">
    <w:name w:val="WW8Num6z1"/>
    <w:qFormat/>
    <w:rPr>
      <w:rFonts w:ascii="Arial" w:hAnsi="Arial" w:cs="Arial"/>
      <w:b w:val="false"/>
      <w:bCs w:val="false"/>
      <w:sz w:val="22"/>
      <w:szCs w:val="22"/>
      <w:highlight w:val="yellow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cs="Arial"/>
      <w:sz w:val="22"/>
      <w:szCs w:val="22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Arial" w:hAnsi="Arial" w:cs="Arial"/>
      <w:b w:val="false"/>
      <w:bCs w:val="false"/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Arial" w:hAnsi="Arial" w:cs="Arial"/>
      <w:b w:val="false"/>
      <w:bCs w:val="false"/>
      <w:sz w:val="22"/>
      <w:szCs w:val="22"/>
    </w:rPr>
  </w:style>
  <w:style w:type="character" w:styleId="WW8Num9z1">
    <w:name w:val="WW8Num9z1"/>
    <w:qFormat/>
    <w:rPr>
      <w:rFonts w:ascii="Arial" w:hAnsi="Arial" w:cs="Arial"/>
      <w:b w:val="false"/>
      <w:bCs w:val="false"/>
      <w:sz w:val="22"/>
      <w:szCs w:val="22"/>
    </w:rPr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>
      <w:rFonts w:ascii="Symbol" w:hAnsi="Symbol" w:cs="Symbol"/>
    </w:rPr>
  </w:style>
  <w:style w:type="character" w:styleId="WW8Num10z0">
    <w:name w:val="WW8Num10z0"/>
    <w:qFormat/>
    <w:rPr>
      <w:rFonts w:ascii="Arial" w:hAnsi="Arial" w:cs="Arial"/>
      <w:b w:val="false"/>
      <w:bCs w:val="false"/>
      <w:sz w:val="22"/>
      <w:szCs w:val="22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Arial" w:hAnsi="Arial" w:cs="Arial"/>
      <w:sz w:val="22"/>
      <w:szCs w:val="22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>
      <w:rFonts w:ascii="Symbol" w:hAnsi="Symbol" w:cs="Symbol"/>
    </w:rPr>
  </w:style>
  <w:style w:type="character" w:styleId="WW8Num12z0">
    <w:name w:val="WW8Num12z0"/>
    <w:qFormat/>
    <w:rPr>
      <w:rFonts w:cs="Arial"/>
      <w:b w:val="false"/>
      <w:bCs w:val="false"/>
      <w:sz w:val="22"/>
      <w:szCs w:val="22"/>
    </w:rPr>
  </w:style>
  <w:style w:type="character" w:styleId="WW8Num12z1">
    <w:name w:val="WW8Num12z1"/>
    <w:qFormat/>
    <w:rPr>
      <w:rFonts w:ascii="Arial" w:hAnsi="Arial" w:cs="Arial"/>
      <w:bCs/>
      <w:sz w:val="22"/>
      <w:szCs w:val="22"/>
    </w:rPr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>
      <w:rFonts w:ascii="Symbol" w:hAnsi="Symbol" w:cs="Symbol"/>
    </w:rPr>
  </w:style>
  <w:style w:type="character" w:styleId="WW8Num13z0">
    <w:name w:val="WW8Num13z0"/>
    <w:qFormat/>
    <w:rPr>
      <w:rFonts w:ascii="Arial" w:hAnsi="Arial" w:cs="Arial"/>
      <w:b w:val="false"/>
      <w:bCs w:val="false"/>
      <w:i/>
      <w:sz w:val="22"/>
      <w:szCs w:val="22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Arial" w:hAnsi="Arial" w:cs="Arial"/>
      <w:b w:val="false"/>
      <w:bCs w:val="false"/>
      <w:sz w:val="22"/>
      <w:szCs w:val="22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5z0">
    <w:name w:val="WW8Num15z0"/>
    <w:qFormat/>
    <w:rPr>
      <w:rFonts w:ascii="Arial" w:hAnsi="Arial" w:cs="Arial"/>
      <w:strike w:val="false"/>
      <w:dstrike w:val="false"/>
      <w:color w:val="000000"/>
      <w:sz w:val="22"/>
      <w:szCs w:val="22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color w:val="000000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i w:val="false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Arial" w:hAnsi="Arial" w:eastAsia="Times New Roman" w:cs="Aria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cs="Times New Roman"/>
    </w:rPr>
  </w:style>
  <w:style w:type="character" w:styleId="WW8Num21z1">
    <w:name w:val="WW8Num21z1"/>
    <w:qFormat/>
    <w:rPr>
      <w:rFonts w:cs="Times New Roman"/>
    </w:rPr>
  </w:style>
  <w:style w:type="character" w:styleId="WW8Num22z0">
    <w:name w:val="WW8Num22z0"/>
    <w:qFormat/>
    <w:rPr>
      <w:rFonts w:ascii="Arial" w:hAnsi="Arial" w:eastAsia="Times New Roman" w:cs="Times New Roman"/>
      <w:bCs/>
      <w:i/>
      <w:sz w:val="22"/>
      <w:szCs w:val="22"/>
    </w:rPr>
  </w:style>
  <w:style w:type="character" w:styleId="WW8Num22z1">
    <w:name w:val="WW8Num22z1"/>
    <w:qFormat/>
    <w:rPr>
      <w:rFonts w:cs="Times New Roman"/>
    </w:rPr>
  </w:style>
  <w:style w:type="character" w:styleId="WW8Num23z0">
    <w:name w:val="WW8Num23z0"/>
    <w:qFormat/>
    <w:rPr>
      <w:rFonts w:ascii="Arial" w:hAnsi="Arial" w:cs="Arial"/>
      <w:b w:val="false"/>
      <w:i/>
      <w:sz w:val="22"/>
      <w:szCs w:val="22"/>
      <w:u w:val="no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Arial" w:hAnsi="Arial" w:cs="Arial"/>
      <w:sz w:val="22"/>
      <w:szCs w:val="22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strike w:val="false"/>
      <w:dstrike w:val="false"/>
      <w:color w:val="000000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rFonts w:ascii="Arial" w:hAnsi="Arial" w:eastAsia="Times New Roman" w:cs="Arial"/>
      <w:color w:val="000000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Standardnpsmoodstavce">
    <w:name w:val="Standardní písmo odstavce"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basedOn w:val="Standardnpsmoodstavce"/>
    <w:qFormat/>
    <w:rPr/>
  </w:style>
  <w:style w:type="character" w:styleId="PedmtkomenteChar">
    <w:name w:val="Předmět komentáře Char"/>
    <w:qFormat/>
    <w:rPr>
      <w:b/>
      <w:bCs/>
    </w:rPr>
  </w:style>
  <w:style w:type="character" w:styleId="ZpatChar">
    <w:name w:val="Zápatí Char"/>
    <w:qFormat/>
    <w:rPr>
      <w:sz w:val="24"/>
      <w:szCs w:val="24"/>
    </w:rPr>
  </w:style>
  <w:style w:type="character" w:styleId="Ukotvenpoznmkypodarou">
    <w:name w:val="Ukotvení poznámky pod čarou"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WWZnakyprovysvtlivky">
    <w:name w:val="WW-Znaky pro vysvětlivky"/>
    <w:qFormat/>
    <w:rPr/>
  </w:style>
  <w:style w:type="character" w:styleId="Symbolyproslovn">
    <w:name w:val="Symboly pro číslování"/>
    <w:qFormat/>
    <w:rPr/>
  </w:style>
  <w:style w:type="character" w:styleId="Ukotvenvysvtlivky">
    <w:name w:val="Ukotvení vysvětlivky"/>
    <w:rPr>
      <w:vertAlign w:val="superscript"/>
    </w:rPr>
  </w:style>
  <w:style w:type="character" w:styleId="ListLabel2">
    <w:name w:val="ListLabel 2"/>
    <w:qFormat/>
    <w:rPr>
      <w:rFonts w:ascii="Arial" w:hAnsi="Arial" w:cs="Arial"/>
      <w:b w:val="false"/>
      <w:sz w:val="22"/>
      <w:u w:val="none"/>
    </w:rPr>
  </w:style>
  <w:style w:type="character" w:styleId="ListLabel32">
    <w:name w:val="ListLabel 32"/>
    <w:qFormat/>
    <w:rPr>
      <w:rFonts w:ascii="Arial" w:hAnsi="Arial" w:cs="Arial"/>
      <w:i w:val="false"/>
      <w:sz w:val="22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ascii="Arial" w:hAnsi="Arial" w:cs="Arial"/>
      <w:b/>
      <w:bCs/>
      <w:i w:val="false"/>
      <w:iCs w:val="false"/>
      <w:sz w:val="22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ascii="Arial" w:hAnsi="Arial" w:cs="Arial"/>
      <w:b/>
      <w:bCs/>
      <w:i w:val="false"/>
      <w:iCs w:val="false"/>
    </w:rPr>
  </w:style>
  <w:style w:type="character" w:styleId="ListLabel45">
    <w:name w:val="ListLabel 45"/>
    <w:qFormat/>
    <w:rPr>
      <w:rFonts w:cs="Arial"/>
      <w:b w:val="false"/>
      <w:bCs w:val="false"/>
      <w:sz w:val="22"/>
      <w:szCs w:val="22"/>
      <w:highlight w:val="yellow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ascii="Arial" w:hAnsi="Arial" w:cs="Arial"/>
      <w:b/>
      <w:bCs/>
      <w:sz w:val="22"/>
      <w:szCs w:val="22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Arial"/>
      <w:bCs/>
      <w:i w:val="false"/>
      <w:iCs w:val="false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Odsazentlatextu">
    <w:name w:val="Body Text Indent"/>
    <w:basedOn w:val="Normal"/>
    <w:pPr>
      <w:ind w:left="708" w:right="0" w:firstLine="357"/>
      <w:jc w:val="both"/>
    </w:pPr>
    <w:rPr>
      <w:szCs w:val="20"/>
    </w:rPr>
  </w:style>
  <w:style w:type="paragraph" w:styleId="Zkladntextodsazen2">
    <w:name w:val="Základní text odsazený 2"/>
    <w:basedOn w:val="Normal"/>
    <w:qFormat/>
    <w:pPr>
      <w:ind w:left="708" w:right="0" w:firstLine="360"/>
      <w:jc w:val="both"/>
    </w:pPr>
    <w:rPr>
      <w:bCs/>
      <w:szCs w:val="20"/>
    </w:rPr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pPr/>
    <w:rPr>
      <w:sz w:val="20"/>
      <w:szCs w:val="20"/>
      <w:lang w:val="cs-CZ" w:eastAsia="cs-CZ"/>
    </w:rPr>
  </w:style>
  <w:style w:type="paragraph" w:styleId="NormlnIMP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Textkomente">
    <w:name w:val="Text komentáře"/>
    <w:basedOn w:val="Normal"/>
    <w:qFormat/>
    <w:pPr/>
    <w:rPr>
      <w:sz w:val="20"/>
      <w:szCs w:val="20"/>
    </w:rPr>
  </w:style>
  <w:style w:type="paragraph" w:styleId="Zkladntextodsazen3">
    <w:name w:val="Základní text odsazený 3"/>
    <w:basedOn w:val="Normal"/>
    <w:qFormat/>
    <w:pPr>
      <w:widowControl w:val="false"/>
      <w:tabs>
        <w:tab w:val="clear" w:pos="708"/>
        <w:tab w:val="left" w:pos="540" w:leader="none"/>
      </w:tabs>
      <w:ind w:left="540" w:right="0" w:hanging="540"/>
      <w:jc w:val="both"/>
    </w:pPr>
    <w:rPr>
      <w:bCs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dstavecseseznamem">
    <w:name w:val="Odstavec se seznamem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Pedmtkomente">
    <w:name w:val="Předmět komentáře"/>
    <w:basedOn w:val="Textkomente"/>
    <w:next w:val="Textkomente"/>
    <w:qFormat/>
    <w:pPr/>
    <w:rPr>
      <w:b/>
      <w:bCs/>
      <w:lang w:val="cs-CZ"/>
    </w:rPr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cs-CZ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1949</TotalTime>
  <Application>LibreOffice/6.1.5.2$Linux_X86_64 LibreOffice_project/10$Build-2</Application>
  <Pages>4</Pages>
  <Words>1132</Words>
  <Characters>6395</Characters>
  <CharactersWithSpaces>7425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2021-09-17T10:35:00Z</dcterms:created>
  <dc:creator>DA210036</dc:creator>
  <dc:description/>
  <dc:language>cs-CZ</dc:language>
  <cp:lastModifiedBy/>
  <dcterms:modified xsi:type="dcterms:W3CDTF">2024-10-22T12:16:14Z</dcterms:modified>
  <cp:revision>46</cp:revision>
  <dc:subject/>
  <dc:title>Vzor obecně závazné vyhlášky obce o stanovení systému shromažďování, sběru, přepravy, třídění, využívání a odstraňování komuná</dc:title>
</cp:coreProperties>
</file>