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62" w:rsidRPr="00D56462" w:rsidRDefault="00D56462" w:rsidP="00D5646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sz w:val="24"/>
          <w:szCs w:val="24"/>
          <w:lang w:eastAsia="cs-CZ"/>
        </w:rPr>
        <w:t>Město Horažďovice</w:t>
      </w:r>
    </w:p>
    <w:p w:rsidR="00D56462" w:rsidRPr="00D56462" w:rsidRDefault="00D56462" w:rsidP="00D5646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sz w:val="24"/>
          <w:szCs w:val="24"/>
          <w:lang w:eastAsia="cs-CZ"/>
        </w:rPr>
        <w:t>Zastupitelstvo města Horažďovice</w:t>
      </w:r>
    </w:p>
    <w:p w:rsidR="00D56462" w:rsidRPr="00D56462" w:rsidRDefault="00D56462" w:rsidP="00D5646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56462" w:rsidRPr="00D56462" w:rsidRDefault="00D56462" w:rsidP="00D5646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města</w:t>
      </w:r>
    </w:p>
    <w:p w:rsidR="00D56462" w:rsidRPr="00D56462" w:rsidRDefault="00D56462" w:rsidP="00D5646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sz w:val="24"/>
          <w:szCs w:val="24"/>
          <w:lang w:eastAsia="cs-CZ"/>
        </w:rPr>
        <w:t>o místním poplatku za užívání veřejného prostranství</w:t>
      </w:r>
    </w:p>
    <w:p w:rsidR="00D56462" w:rsidRPr="00D56462" w:rsidRDefault="00D56462" w:rsidP="00D5646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56462" w:rsidRPr="00D56462" w:rsidRDefault="00D56462" w:rsidP="00D56462">
      <w:p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 xml:space="preserve">Zastupitelstvo města Horažďovice se na svém zasedání dne 13. prosince 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D56462" w:rsidRPr="00D56462" w:rsidRDefault="00D56462" w:rsidP="00D56462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:rsidR="00D56462" w:rsidRPr="00D56462" w:rsidRDefault="00D56462" w:rsidP="00D56462">
      <w:pPr>
        <w:numPr>
          <w:ilvl w:val="0"/>
          <w:numId w:val="1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Město Horažďovice touto vyhláškou zavádí místní poplatek za užívání veřejného prostranství (dále jen „poplatek“).</w:t>
      </w:r>
    </w:p>
    <w:p w:rsidR="00D56462" w:rsidRPr="00D56462" w:rsidRDefault="00D56462" w:rsidP="00D56462">
      <w:pPr>
        <w:numPr>
          <w:ilvl w:val="0"/>
          <w:numId w:val="1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Správcem poplatku je městský úřad.</w:t>
      </w:r>
      <w:r w:rsidRPr="00D56462">
        <w:rPr>
          <w:rFonts w:ascii="Arial" w:eastAsia="Times New Roman" w:hAnsi="Arial" w:cs="Arial"/>
          <w:vertAlign w:val="superscript"/>
          <w:lang w:eastAsia="cs-CZ"/>
        </w:rPr>
        <w:footnoteReference w:id="1"/>
      </w:r>
    </w:p>
    <w:p w:rsidR="00D56462" w:rsidRPr="00D56462" w:rsidRDefault="00D56462" w:rsidP="00D56462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Předmět poplatku a poplatník</w:t>
      </w:r>
    </w:p>
    <w:p w:rsidR="00D56462" w:rsidRPr="00D56462" w:rsidRDefault="00D56462" w:rsidP="00D56462">
      <w:pPr>
        <w:numPr>
          <w:ilvl w:val="0"/>
          <w:numId w:val="2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 a reklamní akce nebo potřeby tvorby filmových a televizních děl.</w:t>
      </w:r>
      <w:r w:rsidRPr="00D56462">
        <w:rPr>
          <w:rFonts w:ascii="Arial" w:eastAsia="Times New Roman" w:hAnsi="Arial" w:cs="Arial"/>
          <w:vertAlign w:val="superscript"/>
          <w:lang w:eastAsia="cs-CZ"/>
        </w:rPr>
        <w:footnoteReference w:id="2"/>
      </w:r>
    </w:p>
    <w:p w:rsidR="00D56462" w:rsidRPr="00D56462" w:rsidRDefault="00D56462" w:rsidP="00D56462">
      <w:pPr>
        <w:numPr>
          <w:ilvl w:val="0"/>
          <w:numId w:val="2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Poplatek za užívání veřejného prostranství platí fyzické i právnické osoby, které užívají veřejné prostranství způsobem uvedeným v odstavci 1 (dále jen „poplatník“).</w:t>
      </w:r>
      <w:r w:rsidRPr="00D56462">
        <w:rPr>
          <w:rFonts w:ascii="Arial" w:eastAsia="Times New Roman" w:hAnsi="Arial" w:cs="Arial"/>
          <w:vertAlign w:val="superscript"/>
          <w:lang w:eastAsia="cs-CZ"/>
        </w:rPr>
        <w:footnoteReference w:id="3"/>
      </w:r>
    </w:p>
    <w:p w:rsidR="00D56462" w:rsidRPr="00D56462" w:rsidRDefault="00D56462" w:rsidP="00D56462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Veřejná prostranství </w:t>
      </w:r>
    </w:p>
    <w:p w:rsidR="00D56462" w:rsidRPr="00D56462" w:rsidRDefault="00D56462" w:rsidP="00D56462">
      <w:pPr>
        <w:spacing w:before="120" w:after="0" w:line="312" w:lineRule="auto"/>
        <w:ind w:left="705"/>
        <w:jc w:val="both"/>
        <w:rPr>
          <w:rFonts w:ascii="Arial" w:eastAsia="Times New Roman" w:hAnsi="Arial" w:cs="Arial"/>
          <w:i/>
          <w:color w:val="ED7D31"/>
          <w:sz w:val="20"/>
          <w:szCs w:val="20"/>
          <w:u w:val="single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Poplatek se platí za užívání veřejných prostranství, která jsou graficky vyznačena na mapě v příloze č. 1. Tato příloha tvoří nedílnou součást této vyhlášky.</w:t>
      </w:r>
    </w:p>
    <w:p w:rsidR="00D56462" w:rsidRPr="00D56462" w:rsidRDefault="00D56462" w:rsidP="00D56462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6462" w:rsidRPr="00D56462" w:rsidRDefault="00D56462" w:rsidP="00D56462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56462">
        <w:rPr>
          <w:rFonts w:ascii="Arial" w:eastAsia="Times New Roman" w:hAnsi="Arial" w:cs="Arial"/>
          <w:b/>
          <w:bCs/>
          <w:lang w:eastAsia="cs-CZ"/>
        </w:rPr>
        <w:lastRenderedPageBreak/>
        <w:t>Čl. 4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56462">
        <w:rPr>
          <w:rFonts w:ascii="Arial" w:eastAsia="Times New Roman" w:hAnsi="Arial" w:cs="Arial"/>
          <w:b/>
          <w:bCs/>
          <w:lang w:eastAsia="cs-CZ"/>
        </w:rPr>
        <w:t>Ohlašovací povinnost</w:t>
      </w:r>
    </w:p>
    <w:p w:rsidR="00D56462" w:rsidRPr="00D56462" w:rsidRDefault="00D56462" w:rsidP="00D56462">
      <w:pPr>
        <w:numPr>
          <w:ilvl w:val="0"/>
          <w:numId w:val="7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D56462" w:rsidRPr="00D56462" w:rsidRDefault="00D56462" w:rsidP="00D56462">
      <w:pPr>
        <w:numPr>
          <w:ilvl w:val="0"/>
          <w:numId w:val="7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Údaje uváděné v ohlášení upravuje zákon.</w:t>
      </w:r>
      <w:r w:rsidRPr="00D56462">
        <w:rPr>
          <w:rFonts w:ascii="Arial" w:eastAsia="Times New Roman" w:hAnsi="Arial" w:cs="Arial"/>
          <w:vertAlign w:val="superscript"/>
          <w:lang w:eastAsia="cs-CZ"/>
        </w:rPr>
        <w:footnoteReference w:id="4"/>
      </w:r>
    </w:p>
    <w:p w:rsidR="00D56462" w:rsidRPr="00D56462" w:rsidRDefault="00D56462" w:rsidP="00D5646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D5646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 ohlášení poplatník uvede</w:t>
      </w:r>
    </w:p>
    <w:p w:rsidR="00D56462" w:rsidRPr="00D56462" w:rsidRDefault="00D56462" w:rsidP="00D5646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D56462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a)</w:t>
      </w:r>
      <w:r w:rsidRPr="00D5646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56462" w:rsidRPr="00D56462" w:rsidRDefault="00D56462" w:rsidP="00D5646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D56462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b)</w:t>
      </w:r>
      <w:r w:rsidRPr="00D5646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D56462" w:rsidRPr="00D56462" w:rsidRDefault="00D56462" w:rsidP="00D5646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D56462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c)</w:t>
      </w:r>
      <w:r w:rsidRPr="00D5646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údaje rozhodné pro stanovení poplatku.</w:t>
      </w:r>
    </w:p>
    <w:p w:rsidR="00D56462" w:rsidRPr="00D56462" w:rsidRDefault="00D56462" w:rsidP="00D56462">
      <w:pPr>
        <w:numPr>
          <w:ilvl w:val="0"/>
          <w:numId w:val="7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Dojde-li ke změně údajů uvedených v ohlášení, je poplatník povinen tuto změnu oznámit do 15 dnů ode dne, kdy nastala.</w:t>
      </w:r>
      <w:r w:rsidRPr="00D56462">
        <w:rPr>
          <w:rFonts w:ascii="Arial" w:eastAsia="Times New Roman" w:hAnsi="Arial" w:cs="Arial"/>
          <w:vertAlign w:val="superscript"/>
          <w:lang w:eastAsia="cs-CZ"/>
        </w:rPr>
        <w:footnoteReference w:id="5"/>
      </w:r>
    </w:p>
    <w:p w:rsidR="00D56462" w:rsidRPr="00D56462" w:rsidRDefault="00D56462" w:rsidP="00D56462">
      <w:p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Sazba poplatku</w:t>
      </w:r>
    </w:p>
    <w:p w:rsidR="00D56462" w:rsidRPr="00D56462" w:rsidRDefault="00D56462" w:rsidP="00D56462">
      <w:pPr>
        <w:numPr>
          <w:ilvl w:val="0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Sazba poplatku činí za každý i započatý m</w:t>
      </w:r>
      <w:r w:rsidRPr="00D56462">
        <w:rPr>
          <w:rFonts w:ascii="Arial" w:eastAsia="Times New Roman" w:hAnsi="Arial" w:cs="Arial"/>
          <w:vertAlign w:val="superscript"/>
          <w:lang w:eastAsia="cs-CZ"/>
        </w:rPr>
        <w:t>2</w:t>
      </w:r>
      <w:r w:rsidRPr="00D56462">
        <w:rPr>
          <w:rFonts w:ascii="Arial" w:eastAsia="Times New Roman" w:hAnsi="Arial" w:cs="Arial"/>
          <w:lang w:eastAsia="cs-CZ"/>
        </w:rPr>
        <w:t xml:space="preserve"> a každý i započatý den: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umístění dočasných staveb sloužících pro poskytování služeb 10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umístění zařízení sloužících pro poskytování služeb 2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umístění dočasných staveb</w:t>
      </w:r>
      <w:r w:rsidRPr="00D56462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D56462">
        <w:rPr>
          <w:rFonts w:ascii="Arial" w:eastAsia="Times New Roman" w:hAnsi="Arial" w:cs="Arial"/>
          <w:lang w:eastAsia="cs-CZ"/>
        </w:rPr>
        <w:t>sloužících pro poskytování prodeje 10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iCs/>
          <w:lang w:eastAsia="cs-CZ"/>
        </w:rPr>
        <w:t xml:space="preserve">za umístění zařízení sloužících pro poskytování prodeje 2 </w:t>
      </w:r>
      <w:r w:rsidRPr="00D56462">
        <w:rPr>
          <w:rFonts w:ascii="Arial" w:eastAsia="Times New Roman" w:hAnsi="Arial" w:cs="Arial"/>
          <w:lang w:eastAsia="cs-CZ"/>
        </w:rPr>
        <w:t>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iCs/>
          <w:lang w:eastAsia="cs-CZ"/>
        </w:rPr>
        <w:t>za umístění zařízení sloužících pro poskytování jednorázového prodeje v maximální délce 3 dny</w:t>
      </w:r>
    </w:p>
    <w:p w:rsidR="00D56462" w:rsidRPr="00D56462" w:rsidRDefault="00D56462" w:rsidP="00D56462">
      <w:pPr>
        <w:numPr>
          <w:ilvl w:val="0"/>
          <w:numId w:val="9"/>
        </w:numPr>
        <w:tabs>
          <w:tab w:val="left" w:pos="8640"/>
        </w:tabs>
        <w:spacing w:before="120" w:after="60" w:line="264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potravin a výpěstků 5 Kč</w:t>
      </w:r>
    </w:p>
    <w:p w:rsidR="00D56462" w:rsidRPr="00D56462" w:rsidRDefault="00D56462" w:rsidP="00D56462">
      <w:pPr>
        <w:numPr>
          <w:ilvl w:val="0"/>
          <w:numId w:val="9"/>
        </w:numPr>
        <w:tabs>
          <w:tab w:val="left" w:pos="8640"/>
        </w:tabs>
        <w:spacing w:before="120" w:after="60" w:line="264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ostatní prodej mimo potravin a výpěstků 50 Kč</w:t>
      </w:r>
    </w:p>
    <w:p w:rsidR="00D56462" w:rsidRPr="00D56462" w:rsidRDefault="00D56462" w:rsidP="00D56462">
      <w:pPr>
        <w:numPr>
          <w:ilvl w:val="0"/>
          <w:numId w:val="9"/>
        </w:numPr>
        <w:tabs>
          <w:tab w:val="left" w:pos="8640"/>
        </w:tabs>
        <w:spacing w:before="120" w:after="60" w:line="264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ostatní prodej mimo potravin a výpěstků v době konání pouti, trhů a veřejných slavností 100 Kč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umístění stavebních zařízení do 30 dnů 0,50 Kč</w:t>
      </w:r>
    </w:p>
    <w:p w:rsidR="00D56462" w:rsidRPr="00D56462" w:rsidRDefault="00D56462" w:rsidP="00D56462">
      <w:pPr>
        <w:tabs>
          <w:tab w:val="left" w:pos="8640"/>
        </w:tabs>
        <w:spacing w:before="120" w:after="60" w:line="264" w:lineRule="auto"/>
        <w:ind w:left="2880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 xml:space="preserve">                      od 30 dnů 1 Kč</w:t>
      </w:r>
      <w:r w:rsidRPr="00D56462">
        <w:rPr>
          <w:rFonts w:ascii="Arial" w:eastAsia="Times New Roman" w:hAnsi="Arial" w:cs="Arial"/>
          <w:lang w:eastAsia="cs-CZ"/>
        </w:rPr>
        <w:tab/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iCs/>
          <w:lang w:eastAsia="cs-CZ"/>
        </w:rPr>
        <w:t>za umístění reklamních zařízení 3 K</w:t>
      </w:r>
      <w:r w:rsidRPr="00D56462">
        <w:rPr>
          <w:rFonts w:ascii="Arial" w:eastAsia="Times New Roman" w:hAnsi="Arial" w:cs="Arial"/>
          <w:lang w:eastAsia="cs-CZ"/>
        </w:rPr>
        <w:t>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iCs/>
          <w:lang w:eastAsia="cs-CZ"/>
        </w:rPr>
        <w:t>za umístění zařízení lunaparků a jiných obdobných atrakcí 2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umístění zařízení cirkusů 1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lastRenderedPageBreak/>
        <w:t>za umístění skládek 2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užívání veřejného prostranství pro kulturní akce 1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užívání veřejného prostranství pro reklamní akce 10 Kč,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za užívání veřejného prostranství pro potřeby tvorby filmových a televizních děl 1 Kč.</w:t>
      </w:r>
    </w:p>
    <w:p w:rsidR="00D56462" w:rsidRPr="00D56462" w:rsidRDefault="00D56462" w:rsidP="00D56462">
      <w:pPr>
        <w:numPr>
          <w:ilvl w:val="0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Obec stanovuje poplatek za umístění reklamních zařízení paušální částkou takto: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70 Kč/měsíc,</w:t>
      </w:r>
    </w:p>
    <w:p w:rsidR="00D56462" w:rsidRPr="00D56462" w:rsidRDefault="00D56462" w:rsidP="00D56462">
      <w:pPr>
        <w:numPr>
          <w:ilvl w:val="1"/>
          <w:numId w:val="3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700 Kč/rok.</w:t>
      </w:r>
    </w:p>
    <w:p w:rsidR="00D56462" w:rsidRPr="00D56462" w:rsidRDefault="00D56462" w:rsidP="00D56462">
      <w:pPr>
        <w:keepNext/>
        <w:keepLines/>
        <w:numPr>
          <w:ilvl w:val="0"/>
          <w:numId w:val="6"/>
        </w:numPr>
        <w:spacing w:before="120" w:after="0" w:line="312" w:lineRule="auto"/>
        <w:jc w:val="both"/>
        <w:rPr>
          <w:rFonts w:ascii="Arial" w:eastAsia="Times New Roman" w:hAnsi="Arial" w:cs="Arial"/>
          <w:bCs/>
          <w:lang w:eastAsia="cs-CZ"/>
        </w:rPr>
      </w:pPr>
      <w:r w:rsidRPr="00D56462">
        <w:rPr>
          <w:rFonts w:ascii="Arial" w:eastAsia="Times New Roman" w:hAnsi="Arial" w:cs="Arial"/>
          <w:bCs/>
          <w:lang w:eastAsia="cs-CZ"/>
        </w:rPr>
        <w:t>Volbu placení poplatku paušální částkou včetně výběru varianty paušální částky sdělí poplatník správci poplatku v rámci ohlášení dle čl. 4 odst. 1.</w:t>
      </w:r>
    </w:p>
    <w:p w:rsidR="00D56462" w:rsidRPr="00D56462" w:rsidRDefault="00D56462" w:rsidP="00D56462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Splatnost poplatku </w:t>
      </w:r>
    </w:p>
    <w:p w:rsidR="00D56462" w:rsidRPr="00D56462" w:rsidRDefault="00D56462" w:rsidP="00D56462">
      <w:pPr>
        <w:numPr>
          <w:ilvl w:val="0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Poplatek ve stanovené výši je splatný:</w:t>
      </w:r>
    </w:p>
    <w:p w:rsidR="00D56462" w:rsidRPr="00D56462" w:rsidRDefault="00D56462" w:rsidP="00D56462">
      <w:pPr>
        <w:numPr>
          <w:ilvl w:val="1"/>
          <w:numId w:val="4"/>
        </w:numPr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při užívání veřejného prostranství po dobu kratší 3 dnů nejpozději v den ukončení užívání veřejného prostranství,</w:t>
      </w:r>
    </w:p>
    <w:p w:rsidR="00D56462" w:rsidRPr="00D56462" w:rsidRDefault="00D56462" w:rsidP="00D56462">
      <w:pPr>
        <w:numPr>
          <w:ilvl w:val="1"/>
          <w:numId w:val="4"/>
        </w:numPr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při užívání veřejného prostranství po dobu 3 dnů nebo delší nejpozději do 15 dnů od ukončení užívání veřejného prostranství.</w:t>
      </w:r>
    </w:p>
    <w:p w:rsidR="00D56462" w:rsidRPr="00D56462" w:rsidRDefault="00D56462" w:rsidP="00D56462">
      <w:pPr>
        <w:numPr>
          <w:ilvl w:val="0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Poplatek stanovený paušální částkou je splatný do 15 dnů od počátku každého poplatkového období.</w:t>
      </w:r>
    </w:p>
    <w:p w:rsidR="00D56462" w:rsidRPr="00D56462" w:rsidRDefault="00D56462" w:rsidP="00D56462">
      <w:pPr>
        <w:numPr>
          <w:ilvl w:val="0"/>
          <w:numId w:val="4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Připadne-li konec lhůty splatnosti na sobotu, neděli nebo státem uznaný svátek, je dnem, ve kterém je poplatník povinen svoji povinnost splnit, nejblíže následující pracovní den.</w:t>
      </w:r>
    </w:p>
    <w:p w:rsidR="00D56462" w:rsidRPr="00D56462" w:rsidRDefault="00D56462" w:rsidP="00D56462">
      <w:pPr>
        <w:spacing w:before="360"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sz w:val="24"/>
          <w:szCs w:val="24"/>
          <w:lang w:eastAsia="cs-CZ"/>
        </w:rPr>
        <w:t>Čl. 7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</w:t>
      </w:r>
    </w:p>
    <w:p w:rsidR="00D56462" w:rsidRPr="00D56462" w:rsidRDefault="00D56462" w:rsidP="00D56462">
      <w:pPr>
        <w:numPr>
          <w:ilvl w:val="0"/>
          <w:numId w:val="5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Poplatek se neplatí z akcí pořádaných na veřejném prostranství, jejichž celý výtěžek je odveden na charitativní a veřejně prospěšné účely</w:t>
      </w:r>
      <w:r w:rsidRPr="00D56462">
        <w:rPr>
          <w:rFonts w:ascii="Arial" w:eastAsia="Times New Roman" w:hAnsi="Arial" w:cs="Arial"/>
          <w:vertAlign w:val="superscript"/>
          <w:lang w:eastAsia="cs-CZ"/>
        </w:rPr>
        <w:footnoteReference w:id="6"/>
      </w:r>
      <w:r w:rsidRPr="00D56462">
        <w:rPr>
          <w:rFonts w:ascii="Arial" w:eastAsia="Times New Roman" w:hAnsi="Arial" w:cs="Arial"/>
          <w:lang w:eastAsia="cs-CZ"/>
        </w:rPr>
        <w:t xml:space="preserve">. </w:t>
      </w:r>
    </w:p>
    <w:p w:rsidR="00D56462" w:rsidRPr="00D56462" w:rsidRDefault="00D56462" w:rsidP="00D56462">
      <w:pPr>
        <w:numPr>
          <w:ilvl w:val="0"/>
          <w:numId w:val="5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 xml:space="preserve">Od poplatku se dále osvobozuje umístění skládek na dobu kratší než 7 dnů. </w:t>
      </w:r>
    </w:p>
    <w:p w:rsidR="00D56462" w:rsidRPr="00D56462" w:rsidRDefault="00D56462" w:rsidP="00D56462">
      <w:pPr>
        <w:numPr>
          <w:ilvl w:val="0"/>
          <w:numId w:val="5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V případě, že poplatník nesplní povinnost ohlásit údaj rozhodný pro osvobození ve lhůtách stanovených touto vyhláškou nebo zákonem, nárok na osvobození zaniká.</w:t>
      </w:r>
      <w:r w:rsidRPr="00D56462">
        <w:rPr>
          <w:rFonts w:ascii="Arial" w:eastAsia="Times New Roman" w:hAnsi="Arial" w:cs="Arial"/>
          <w:vertAlign w:val="superscript"/>
          <w:lang w:eastAsia="cs-CZ"/>
        </w:rPr>
        <w:footnoteReference w:id="7"/>
      </w:r>
    </w:p>
    <w:p w:rsidR="00D56462" w:rsidRPr="00D56462" w:rsidRDefault="00D56462" w:rsidP="00D56462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8</w:t>
      </w:r>
    </w:p>
    <w:p w:rsidR="00D56462" w:rsidRPr="00D56462" w:rsidRDefault="00D56462" w:rsidP="00D56462">
      <w:pPr>
        <w:keepNext/>
        <w:keepLines/>
        <w:tabs>
          <w:tab w:val="left" w:pos="3015"/>
          <w:tab w:val="center" w:pos="4536"/>
        </w:tabs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Přechodné a zrušovací ustanovení</w:t>
      </w:r>
    </w:p>
    <w:p w:rsidR="00D56462" w:rsidRPr="00D56462" w:rsidRDefault="00D56462" w:rsidP="00D56462">
      <w:pPr>
        <w:numPr>
          <w:ilvl w:val="0"/>
          <w:numId w:val="8"/>
        </w:num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>Poplatkové povinnosti vzniklé před nabytím účinnosti této vyhlášky se posuzují podle dosavadních právních předpisů.</w:t>
      </w:r>
    </w:p>
    <w:p w:rsidR="00D56462" w:rsidRPr="00D56462" w:rsidRDefault="00D56462" w:rsidP="00D56462">
      <w:pPr>
        <w:numPr>
          <w:ilvl w:val="0"/>
          <w:numId w:val="8"/>
        </w:num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lastRenderedPageBreak/>
        <w:t>Zrušuje se obecně závazná vyhláška č. 4/2019</w:t>
      </w:r>
      <w:r w:rsidRPr="00D56462">
        <w:rPr>
          <w:rFonts w:ascii="Arial" w:eastAsia="Times New Roman" w:hAnsi="Arial" w:cs="Arial"/>
          <w:i/>
          <w:lang w:eastAsia="cs-CZ"/>
        </w:rPr>
        <w:t xml:space="preserve">, </w:t>
      </w:r>
      <w:r w:rsidRPr="00D56462">
        <w:rPr>
          <w:rFonts w:ascii="Arial" w:eastAsia="Times New Roman" w:hAnsi="Arial" w:cs="Arial"/>
          <w:lang w:eastAsia="cs-CZ"/>
        </w:rPr>
        <w:t>ze dne 11. prosince 2019.</w:t>
      </w:r>
    </w:p>
    <w:p w:rsidR="00D56462" w:rsidRPr="00D56462" w:rsidRDefault="00D56462" w:rsidP="00D56462">
      <w:p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9</w:t>
      </w:r>
    </w:p>
    <w:p w:rsidR="00D56462" w:rsidRPr="00D56462" w:rsidRDefault="00D56462" w:rsidP="00D5646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646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:rsidR="00D56462" w:rsidRPr="00D56462" w:rsidRDefault="00D56462" w:rsidP="00D56462">
      <w:pPr>
        <w:spacing w:before="120" w:after="0" w:line="312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 xml:space="preserve">Tato vyhláška nabývá účinnosti dnem 1. ledna 2024. </w:t>
      </w:r>
    </w:p>
    <w:p w:rsidR="00D56462" w:rsidRPr="00D56462" w:rsidRDefault="00D56462" w:rsidP="00D56462">
      <w:pPr>
        <w:keepNext/>
        <w:keepLines/>
        <w:spacing w:before="60" w:line="240" w:lineRule="auto"/>
        <w:rPr>
          <w:rFonts w:ascii="Arial" w:eastAsia="Times New Roman" w:hAnsi="Arial" w:cs="Arial"/>
          <w:i/>
          <w:color w:val="1A4BD6"/>
          <w:sz w:val="24"/>
          <w:szCs w:val="24"/>
          <w:lang w:eastAsia="cs-CZ"/>
        </w:rPr>
      </w:pPr>
    </w:p>
    <w:p w:rsidR="00D56462" w:rsidRPr="00D56462" w:rsidRDefault="00D56462" w:rsidP="00D56462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 w:rsidRPr="00D56462">
        <w:rPr>
          <w:rFonts w:ascii="Arial" w:eastAsia="Times New Roman" w:hAnsi="Arial" w:cs="Arial"/>
          <w:i/>
          <w:lang w:eastAsia="cs-CZ"/>
        </w:rPr>
        <w:tab/>
      </w:r>
      <w:r w:rsidRPr="00D56462">
        <w:rPr>
          <w:rFonts w:ascii="Arial" w:eastAsia="Times New Roman" w:hAnsi="Arial" w:cs="Arial"/>
          <w:i/>
          <w:lang w:eastAsia="cs-CZ"/>
        </w:rPr>
        <w:tab/>
        <w:t xml:space="preserve">      </w:t>
      </w:r>
    </w:p>
    <w:p w:rsidR="00D56462" w:rsidRPr="00D56462" w:rsidRDefault="00D56462" w:rsidP="00D56462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 w:rsidRPr="00D56462">
        <w:rPr>
          <w:rFonts w:ascii="Arial" w:eastAsia="Times New Roman" w:hAnsi="Arial" w:cs="Arial"/>
          <w:i/>
          <w:lang w:eastAsia="cs-CZ"/>
        </w:rPr>
        <w:tab/>
        <w:t>.................................................</w:t>
      </w:r>
      <w:r w:rsidRPr="00D56462">
        <w:rPr>
          <w:rFonts w:ascii="Arial" w:eastAsia="Times New Roman" w:hAnsi="Arial" w:cs="Arial"/>
          <w:i/>
          <w:lang w:eastAsia="cs-CZ"/>
        </w:rPr>
        <w:tab/>
      </w:r>
      <w:r w:rsidRPr="00D56462">
        <w:rPr>
          <w:rFonts w:ascii="Arial" w:eastAsia="Times New Roman" w:hAnsi="Arial" w:cs="Arial"/>
          <w:i/>
          <w:lang w:eastAsia="cs-CZ"/>
        </w:rPr>
        <w:tab/>
        <w:t xml:space="preserve">    ........................................</w:t>
      </w:r>
    </w:p>
    <w:p w:rsidR="00D56462" w:rsidRPr="00D56462" w:rsidRDefault="00D56462" w:rsidP="00D56462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ab/>
        <w:t>Ing. Michael Forman v. r.</w:t>
      </w:r>
      <w:r w:rsidRPr="00D56462">
        <w:rPr>
          <w:rFonts w:ascii="Arial" w:eastAsia="Times New Roman" w:hAnsi="Arial" w:cs="Arial"/>
          <w:lang w:eastAsia="cs-CZ"/>
        </w:rPr>
        <w:tab/>
        <w:t xml:space="preserve">    Ing. Hana Kalná v. r.</w:t>
      </w: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D56462">
        <w:rPr>
          <w:rFonts w:ascii="Arial" w:eastAsia="Times New Roman" w:hAnsi="Arial" w:cs="Arial"/>
          <w:lang w:eastAsia="cs-CZ"/>
        </w:rPr>
        <w:tab/>
        <w:t xml:space="preserve">            starosta  </w:t>
      </w:r>
      <w:r w:rsidRPr="00D56462">
        <w:rPr>
          <w:rFonts w:ascii="Arial" w:eastAsia="Times New Roman" w:hAnsi="Arial" w:cs="Arial"/>
          <w:lang w:eastAsia="cs-CZ"/>
        </w:rPr>
        <w:tab/>
        <w:t>místostarostka</w:t>
      </w: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D56462" w:rsidRPr="00D56462" w:rsidRDefault="00D56462" w:rsidP="00D5646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:rsidR="002A11B2" w:rsidRDefault="002A11B2"/>
    <w:sectPr w:rsidR="002A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8A" w:rsidRDefault="00D97D8A" w:rsidP="00D56462">
      <w:pPr>
        <w:spacing w:after="0" w:line="240" w:lineRule="auto"/>
      </w:pPr>
      <w:r>
        <w:separator/>
      </w:r>
    </w:p>
  </w:endnote>
  <w:endnote w:type="continuationSeparator" w:id="0">
    <w:p w:rsidR="00D97D8A" w:rsidRDefault="00D97D8A" w:rsidP="00D5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44" w:rsidRDefault="004C6A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05203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C6A44" w:rsidRDefault="004C6A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C6A44" w:rsidRDefault="004C6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44" w:rsidRDefault="004C6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8A" w:rsidRDefault="00D97D8A" w:rsidP="00D56462">
      <w:pPr>
        <w:spacing w:after="0" w:line="240" w:lineRule="auto"/>
      </w:pPr>
      <w:r>
        <w:separator/>
      </w:r>
    </w:p>
  </w:footnote>
  <w:footnote w:type="continuationSeparator" w:id="0">
    <w:p w:rsidR="00D97D8A" w:rsidRDefault="00D97D8A" w:rsidP="00D56462">
      <w:pPr>
        <w:spacing w:after="0" w:line="240" w:lineRule="auto"/>
      </w:pPr>
      <w:r>
        <w:continuationSeparator/>
      </w:r>
    </w:p>
  </w:footnote>
  <w:footnote w:id="1">
    <w:p w:rsidR="00D56462" w:rsidRPr="00D005A8" w:rsidRDefault="00D56462" w:rsidP="00D56462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D56462" w:rsidRPr="00D005A8" w:rsidRDefault="00D56462" w:rsidP="00D564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D56462" w:rsidRPr="002D0857" w:rsidRDefault="00D56462" w:rsidP="00D56462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D56462" w:rsidRPr="00D005A8" w:rsidRDefault="00D56462" w:rsidP="00D564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D56462" w:rsidRDefault="00D56462" w:rsidP="00D56462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D56462" w:rsidRPr="007253FE" w:rsidRDefault="00D56462" w:rsidP="00D56462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D56462" w:rsidRPr="0054071F" w:rsidRDefault="00D56462" w:rsidP="00D56462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44" w:rsidRDefault="004C6A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44" w:rsidRDefault="004C6A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44" w:rsidRDefault="004C6A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73109D2"/>
    <w:multiLevelType w:val="hybridMultilevel"/>
    <w:tmpl w:val="33A24798"/>
    <w:lvl w:ilvl="0" w:tplc="320ECBF6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62"/>
    <w:rsid w:val="002A11B2"/>
    <w:rsid w:val="004C6A44"/>
    <w:rsid w:val="00D56462"/>
    <w:rsid w:val="00D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E826EC4-0DBF-4E70-BA2E-B9758FE6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64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6462"/>
    <w:rPr>
      <w:sz w:val="20"/>
      <w:szCs w:val="20"/>
    </w:rPr>
  </w:style>
  <w:style w:type="character" w:styleId="Znakapoznpodarou">
    <w:name w:val="footnote reference"/>
    <w:semiHidden/>
    <w:rsid w:val="00D564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C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A44"/>
  </w:style>
  <w:style w:type="paragraph" w:styleId="Zpat">
    <w:name w:val="footer"/>
    <w:basedOn w:val="Normln"/>
    <w:link w:val="ZpatChar"/>
    <w:uiPriority w:val="99"/>
    <w:unhideWhenUsed/>
    <w:rsid w:val="004C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Charvátová</dc:creator>
  <cp:keywords/>
  <dc:description/>
  <cp:lastModifiedBy>Zdeňka Charvátová</cp:lastModifiedBy>
  <cp:revision>1</cp:revision>
  <dcterms:created xsi:type="dcterms:W3CDTF">2023-12-14T10:05:00Z</dcterms:created>
  <dcterms:modified xsi:type="dcterms:W3CDTF">2023-12-14T10:57:00Z</dcterms:modified>
</cp:coreProperties>
</file>